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0"/>
        </w:tabs>
        <w:spacing w:line="580" w:lineRule="exact"/>
        <w:ind w:left="-640" w:leftChars="-200" w:firstLine="640" w:firstLineChars="200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"/>
        </w:rPr>
        <w:t>附件</w:t>
      </w:r>
      <w:r>
        <w:rPr>
          <w:rFonts w:hint="eastAsia" w:ascii="黑体" w:hAnsi="黑体" w:eastAsia="黑体" w:cs="黑体"/>
          <w:szCs w:val="22"/>
          <w:lang w:val="en-US" w:eastAsia="zh-CN"/>
        </w:rPr>
        <w:t>2</w:t>
      </w:r>
    </w:p>
    <w:p>
      <w:pPr>
        <w:suppressAutoHyphens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uppressAutoHyphens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产业工人队伍建设改革关键绩效指标</w:t>
      </w:r>
    </w:p>
    <w:p>
      <w:pPr>
        <w:suppressAutoHyphens/>
        <w:spacing w:line="580" w:lineRule="exact"/>
        <w:rPr>
          <w:rFonts w:ascii="仿宋_GB2312" w:hAnsi="仿宋_GB2312" w:eastAsia="仿宋_GB2312"/>
          <w:szCs w:val="20"/>
        </w:rPr>
      </w:pPr>
      <w:r>
        <w:rPr>
          <w:rFonts w:hint="eastAsia" w:ascii="仿宋_GB2312" w:hAnsi="仿宋_GB2312" w:eastAsia="仿宋_GB2312"/>
          <w:szCs w:val="20"/>
        </w:rPr>
        <w:t xml:space="preserve">    </w:t>
      </w:r>
    </w:p>
    <w:p>
      <w:pPr>
        <w:suppressAutoHyphens/>
        <w:spacing w:line="580" w:lineRule="exact"/>
        <w:ind w:firstLine="640" w:firstLineChars="200"/>
        <w:rPr>
          <w:rFonts w:ascii="黑体" w:hAnsi="仿宋_GB2312" w:eastAsia="黑体"/>
          <w:bCs/>
          <w:szCs w:val="20"/>
        </w:rPr>
      </w:pPr>
      <w:r>
        <w:rPr>
          <w:rFonts w:hint="eastAsia" w:ascii="黑体" w:hAnsi="仿宋_GB2312" w:eastAsia="黑体"/>
          <w:bCs/>
          <w:szCs w:val="20"/>
        </w:rPr>
        <w:t>一、提高产业工人政治地位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1.发展党员。</w:t>
      </w:r>
      <w:r>
        <w:rPr>
          <w:rFonts w:hint="eastAsia" w:ascii="仿宋_GB2312" w:hAnsi="仿宋_GB2312" w:eastAsia="仿宋_GB2312"/>
          <w:szCs w:val="20"/>
        </w:rPr>
        <w:t>产业工人党员数量、年度增长率。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2.“三代表三委员”数量和比例</w:t>
      </w:r>
      <w:r>
        <w:rPr>
          <w:rFonts w:hint="eastAsia" w:ascii="仿宋_GB2312" w:hAnsi="仿宋_GB2312" w:eastAsia="仿宋_GB2312"/>
          <w:szCs w:val="20"/>
        </w:rPr>
        <w:t>。产业工人在党的代表大会代表和委员会委员、人民代表大会代表、政协委员、群团组织代表大会代表和委员会委员数量和比例提升情况。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3.群团组织兼挂职。</w:t>
      </w:r>
      <w:r>
        <w:rPr>
          <w:rFonts w:hint="eastAsia" w:ascii="仿宋_GB2312" w:hAnsi="仿宋_GB2312" w:eastAsia="仿宋_GB2312"/>
          <w:szCs w:val="20"/>
        </w:rPr>
        <w:t>产业工人在区、街道（乡镇）总工会和共青团、妇联等群团组织挂职和兼职情况。</w:t>
      </w:r>
    </w:p>
    <w:p>
      <w:pPr>
        <w:suppressAutoHyphens/>
        <w:spacing w:line="580" w:lineRule="exact"/>
        <w:ind w:firstLine="640" w:firstLineChars="200"/>
        <w:rPr>
          <w:rFonts w:ascii="黑体" w:hAnsi="仿宋_GB2312" w:eastAsia="黑体"/>
          <w:bCs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4.职代会作用发挥</w:t>
      </w:r>
      <w:r>
        <w:rPr>
          <w:rFonts w:hint="eastAsia" w:ascii="仿宋_GB2312" w:hAnsi="仿宋_GB2312" w:eastAsia="仿宋_GB2312"/>
          <w:szCs w:val="20"/>
        </w:rPr>
        <w:t>。企业在重大决策上听取产业工人意见，涉及产业工人切身利益的重大问题经职代会审议等情况。</w:t>
      </w:r>
    </w:p>
    <w:p>
      <w:pPr>
        <w:suppressAutoHyphens/>
        <w:spacing w:line="580" w:lineRule="exact"/>
        <w:ind w:firstLine="640" w:firstLineChars="200"/>
        <w:rPr>
          <w:rFonts w:ascii="黑体" w:hAnsi="黑体" w:eastAsia="黑体" w:cs="黑体"/>
          <w:szCs w:val="20"/>
        </w:rPr>
      </w:pPr>
      <w:r>
        <w:rPr>
          <w:rFonts w:hint="eastAsia" w:ascii="黑体" w:hAnsi="仿宋_GB2312" w:eastAsia="黑体"/>
          <w:bCs/>
          <w:szCs w:val="20"/>
        </w:rPr>
        <w:t>二、提高产业工人</w:t>
      </w:r>
      <w:r>
        <w:rPr>
          <w:rFonts w:hint="eastAsia" w:ascii="黑体" w:hAnsi="黑体" w:eastAsia="黑体" w:cs="黑体"/>
          <w:szCs w:val="20"/>
        </w:rPr>
        <w:t>经济地位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5.技能结构。</w:t>
      </w:r>
      <w:r>
        <w:rPr>
          <w:rFonts w:hint="eastAsia" w:ascii="仿宋_GB2312" w:hAnsi="仿宋_GB2312" w:eastAsia="仿宋_GB2312"/>
          <w:szCs w:val="20"/>
        </w:rPr>
        <w:t>高级工、技师、高级技师及工程师等的数量、增长率，占当地产业工人数量的比重。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6.素质提升。</w:t>
      </w:r>
      <w:r>
        <w:rPr>
          <w:rFonts w:hint="eastAsia" w:ascii="仿宋_GB2312" w:hAnsi="仿宋_GB2312" w:eastAsia="仿宋_GB2312"/>
          <w:szCs w:val="20"/>
        </w:rPr>
        <w:t>产业工人通过各级各类技能培训、技能比赛提升技能等级情况，农民工技能提升等情况。产业工人学历提高情况，农民工学历提高等情况。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7.技术工人收入水平。</w:t>
      </w:r>
      <w:r>
        <w:rPr>
          <w:rFonts w:hint="eastAsia" w:ascii="仿宋_GB2312" w:hAnsi="仿宋_GB2312" w:eastAsia="仿宋_GB2312"/>
          <w:szCs w:val="20"/>
        </w:rPr>
        <w:t>建立落实多劳多得、技高多得体系和技术工人创新成果按要素参与分配制度情况，建立工资正常增长机制、高技能领军人才年薪制和股权期权激励等情况。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8.技术工人成长成才通道。</w:t>
      </w:r>
      <w:r>
        <w:rPr>
          <w:rFonts w:hint="eastAsia" w:ascii="仿宋_GB2312" w:hAnsi="仿宋_GB2312" w:eastAsia="仿宋_GB2312"/>
          <w:szCs w:val="20"/>
        </w:rPr>
        <w:t>创新多元化技能评价方式，拓展技术工人职业技能等级，推动职业技能等级与专业技术职务衔接等情况。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9.技能表彰和创新激励。</w:t>
      </w:r>
      <w:r>
        <w:rPr>
          <w:rFonts w:hint="eastAsia" w:ascii="仿宋_GB2312" w:hAnsi="仿宋_GB2312" w:eastAsia="仿宋_GB2312"/>
          <w:szCs w:val="20"/>
        </w:rPr>
        <w:t>对技术工人取得专利等知识产权、获得省部级以上创新奖项、技能表彰奖项等给予物质激励情况。设立创新补助资金用于鼓励支持产业工人岗位创新情况。</w:t>
      </w:r>
    </w:p>
    <w:p>
      <w:pPr>
        <w:suppressAutoHyphens/>
        <w:spacing w:line="580" w:lineRule="exact"/>
        <w:ind w:firstLine="640" w:firstLineChars="200"/>
        <w:rPr>
          <w:rFonts w:ascii="黑体" w:hAnsi="仿宋_GB2312" w:eastAsia="黑体"/>
          <w:bCs/>
          <w:szCs w:val="20"/>
        </w:rPr>
      </w:pPr>
      <w:r>
        <w:rPr>
          <w:rFonts w:hint="eastAsia" w:ascii="黑体" w:hAnsi="黑体" w:eastAsia="黑体" w:cs="黑体"/>
          <w:szCs w:val="20"/>
        </w:rPr>
        <w:t>三、</w:t>
      </w:r>
      <w:r>
        <w:rPr>
          <w:rFonts w:hint="eastAsia" w:ascii="黑体" w:hAnsi="仿宋_GB2312" w:eastAsia="黑体"/>
          <w:bCs/>
          <w:szCs w:val="20"/>
        </w:rPr>
        <w:t>提高产业工人社会地位</w:t>
      </w:r>
    </w:p>
    <w:p>
      <w:pPr>
        <w:suppressAutoHyphens/>
        <w:spacing w:line="580" w:lineRule="exact"/>
        <w:ind w:firstLine="640" w:firstLineChars="200"/>
        <w:rPr>
          <w:rFonts w:ascii="楷体_GB2312" w:hAnsi="楷体_GB2312" w:eastAsia="楷体_GB2312" w:cs="楷体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10.制造业产业工人队伍稳定。</w:t>
      </w:r>
      <w:r>
        <w:rPr>
          <w:rFonts w:hint="eastAsia" w:ascii="仿宋_GB2312" w:hAnsi="仿宋_GB2312" w:eastAsia="仿宋_GB2312"/>
          <w:szCs w:val="20"/>
        </w:rPr>
        <w:t>制造业产业工人数量、平均年龄合理，收入增长率高于社会平均水平。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  <w:u w:val="single"/>
        </w:rPr>
      </w:pPr>
      <w:r>
        <w:rPr>
          <w:rFonts w:hint="eastAsia" w:ascii="楷体_GB2312" w:hAnsi="楷体_GB2312" w:eastAsia="楷体_GB2312" w:cs="楷体_GB2312"/>
          <w:szCs w:val="20"/>
        </w:rPr>
        <w:t>11.高技能人才纳入党管人才总盘子。</w:t>
      </w:r>
      <w:r>
        <w:rPr>
          <w:rFonts w:hint="eastAsia" w:ascii="仿宋_GB2312" w:hAnsi="仿宋_GB2312" w:eastAsia="仿宋_GB2312"/>
          <w:szCs w:val="20"/>
        </w:rPr>
        <w:t>把高技能人才纳入党管人才总盘子统筹考虑情况。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12.高技能领军人才社会待遇。</w:t>
      </w:r>
      <w:r>
        <w:rPr>
          <w:rFonts w:hint="eastAsia" w:ascii="仿宋_GB2312" w:hAnsi="仿宋_GB2312" w:eastAsia="仿宋_GB2312"/>
          <w:szCs w:val="20"/>
        </w:rPr>
        <w:t>设立高技能领军人才服务窗口、专门通道等，根据需求出台解决高技能领军人才优待政策情况。</w:t>
      </w:r>
    </w:p>
    <w:p>
      <w:pPr>
        <w:suppressAutoHyphens/>
        <w:spacing w:line="580" w:lineRule="exact"/>
        <w:ind w:firstLine="640" w:firstLineChars="200"/>
        <w:rPr>
          <w:rFonts w:ascii="仿宋_GB2312" w:hAnsi="仿宋_GB2312" w:eastAsia="仿宋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13.劳模和工匠人才创新工作室、工匠学院建设。</w:t>
      </w:r>
      <w:r>
        <w:rPr>
          <w:rFonts w:hint="eastAsia" w:ascii="仿宋_GB2312" w:hAnsi="仿宋_GB2312" w:eastAsia="仿宋_GB2312"/>
          <w:szCs w:val="20"/>
        </w:rPr>
        <w:t>国家级、市级、区级工匠学院命名和作用发挥情况，为高技能领军人才搭建展示和交流平台等情况。</w:t>
      </w:r>
    </w:p>
    <w:p>
      <w:pPr>
        <w:suppressAutoHyphens/>
        <w:spacing w:line="580" w:lineRule="exact"/>
        <w:ind w:firstLine="64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Cs w:val="20"/>
        </w:rPr>
        <w:t>14.农民工融入城市。</w:t>
      </w:r>
      <w:r>
        <w:rPr>
          <w:rFonts w:hint="eastAsia" w:ascii="仿宋_GB2312" w:hAnsi="仿宋_GB2312" w:eastAsia="仿宋_GB2312"/>
          <w:szCs w:val="20"/>
        </w:rPr>
        <w:t>建立完善农民工公共就业服务体系。公平保障农民工作为用人单位职工、城镇常住人口的权益等基本公共服务方面配套政策。</w:t>
      </w:r>
    </w:p>
    <w:p/>
    <w:sectPr>
      <w:pgSz w:w="11906" w:h="16838"/>
      <w:pgMar w:top="1985" w:right="1531" w:bottom="1985" w:left="1531" w:header="851" w:footer="1701" w:gutter="0"/>
      <w:pgNumType w:fmt="numberInDash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1660C"/>
    <w:rsid w:val="0F01660C"/>
    <w:rsid w:val="450818EC"/>
    <w:rsid w:val="7CF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ageBreakBefore/>
      <w:spacing w:beforeAutospacing="1" w:after="100" w:afterLines="100" w:afterAutospacing="0" w:line="560" w:lineRule="exact"/>
      <w:jc w:val="center"/>
      <w:outlineLvl w:val="1"/>
    </w:pPr>
    <w:rPr>
      <w:rFonts w:hint="eastAsia" w:ascii="宋体" w:hAnsi="宋体" w:eastAsia="方正小标宋简体" w:cs="Times New Roman"/>
      <w:kern w:val="0"/>
      <w:sz w:val="44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2022-11-25T03:12:00Z</dcterms:created>
  <dc:creator>解瑞强</dc:creator>
  <cp:lastModifiedBy>解瑞强</cp:lastModifiedBy>
  <dcterms:modified xsi:type="dcterms:W3CDTF">2022-11-26T01:01:31Z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