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第四部分2024年度部门绩效评价情况</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部门整体绩效评价报告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二、项目支出绩效评价报告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三、项目支出绩效自评表</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一、部门概况</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（一）机构设置及职责工作任务情况</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根据党的基本理论、基本路线、基本纲领和工运方针，围绕丰台区工作大局，贯彻执行全总、北京市、丰台区工会代表大会和执委（委员）会议确定的方针、任务和作出的决议。依照法律和《中国工会章程》，组织和指导丰台区各级工会坚定不移地贯彻落实党的全心全意依靠工人阶级的根本指导方针，进一步突出和履行维护职能。</w:t>
      </w:r>
    </w:p>
    <w:p>
      <w:pPr>
        <w:keepNext w:val="0"/>
        <w:keepLines w:val="0"/>
        <w:pageBreakBefore w:val="0"/>
        <w:numPr>
          <w:ilvl w:val="0"/>
          <w:numId w:val="2"/>
        </w:numPr>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部门整体绩效目标设立情况</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对丰台区内有关职工合法权益的重大问题进行调查研究，向北京市总工会、丰台区委、区政府反映职工群众的思想、愿望和要求，提出意见和建议；参与丰台区内涉及职工切身利益的政策、措施、制度的拟定；参与丰台区内职工重大伤亡事故的调查处理。监督检查《中国工会章程》在丰台区的贯彻执行；研究指导丰台区工会自身改革和建设；指导丰台区各级工会组织开展以职工代表大会为基本制度的民主选举、民主决策、民主管理和民主监督工作，推动建立平等协商、集体合同制度和监督保证机制的工作。监督、检查丰台区总工会机关和直属单位党员干部党风廉政建设情况；研究制定丰台区工会干部的管理制度和培训规划，负责丰台区直属基层工会、直属事业单位干部培训工作。协助丰台区政府做好辖区内全国、北京市劳模的推荐、评选工作，负责丰台区内全国、北京市劳模的管理工作；负责丰台区内全国、北京市“五一”劳动奖章、奖状获得者的评选表彰和管理工作。负责丰台区工会经费和工会资产的管理、指导、审查、审计工作。承担北京市总工会、丰台区委交办的其他事项。</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二、整体绩效目标实现情况</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1.产出完成情况分析</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(1)产出数量</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丰台区总工会协助丰台区政府做好辖区内全国、北京市劳模的推荐、评选工作，负责丰台区内全国、北京市劳模的管理工作。依法维护职工和企业双方的合法权益，尽快从简解决劳动纠纷，维护社会和谐稳定。</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(2)产出质量</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劳模服务到位周到，全年主动热情服务劳模，全面落实各项劳模待遇，开展了面向全体劳模的节日慰问活动、发放慰问金和慰问品、组织部分劳模健康体检，组织部分劳模参加游园等参观活动，利用各种媒体大力宣传劳模事迹、弘扬劳模精神，全区关爱劳模、学习劳模氛围浓厚。充分发挥机关党建战斗堡垒作用。建立、维护基层党组织工作和活动场地，丰富基层党组织的活动内容和活动形式。</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 xml:space="preserve">(3)产出进度   </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丰台区总工会全部支出12月支出完毕</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ab/>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ab/>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 xml:space="preserve">(4)产出成本 </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丰台区总工会支出金额不超过预算批复总额</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ab/>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ab/>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2.效果实现情况分析</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1.社会效益</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做好劳模工作弘扬劳模精神、劳动精神、工匠精神，社会上形成关爱劳模、学习劳模的浓厚氛围，激励广大职工建功新时代，建设新丰台。丰富基层党组织的活动内容和活动形式。依法维护职工和企业双方的合法权益，尽快从简解决劳动纠纷，维护社会和谐稳定。</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3.服务对象满意度</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丰台区总工会服务对象满意度达到90%以上</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三、预算管理情况分析</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（一）财务管理</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1.财务管理制度健全性，</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财政管理制度健全，建立了健全的财务管理制度。充分发挥财务的监管，核算职能。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2.资金使用合规性和安全性</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资金使用合理合规，</w:t>
      </w:r>
      <w:r>
        <w:rPr>
          <w:rFonts w:hint="default" w:ascii="微软雅黑" w:hAnsi="微软雅黑" w:eastAsia="微软雅黑" w:cs="微软雅黑"/>
          <w:i w:val="0"/>
          <w:caps w:val="0"/>
          <w:color w:val="404040"/>
          <w:spacing w:val="0"/>
          <w:kern w:val="0"/>
          <w:sz w:val="19"/>
          <w:szCs w:val="19"/>
          <w:u w:val="none"/>
          <w:shd w:val="clear" w:fill="FFFFFF"/>
          <w:lang w:val="en-US" w:eastAsia="zh-CN" w:bidi="ar"/>
        </w:rPr>
        <w:t>健全完善各类财政资金管理办法，对</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资金</w:t>
      </w:r>
      <w:r>
        <w:rPr>
          <w:rFonts w:hint="default" w:ascii="微软雅黑" w:hAnsi="微软雅黑" w:eastAsia="微软雅黑" w:cs="微软雅黑"/>
          <w:i w:val="0"/>
          <w:caps w:val="0"/>
          <w:color w:val="404040"/>
          <w:spacing w:val="0"/>
          <w:kern w:val="0"/>
          <w:sz w:val="19"/>
          <w:szCs w:val="19"/>
          <w:u w:val="none"/>
          <w:shd w:val="clear" w:fill="FFFFFF"/>
          <w:lang w:val="en-US" w:eastAsia="zh-CN" w:bidi="ar"/>
        </w:rPr>
        <w:t>实行事先预算、事中监控和事后审查，加大监督检查力度</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。完善内部运行机制，以岗位职责为纽带，遵循“决策-执行-监督”相分离的原则。确保了资金始终在科学、合理、严密的内控下运作。</w:t>
      </w:r>
    </w:p>
    <w:p>
      <w:pPr>
        <w:keepNext w:val="0"/>
        <w:keepLines w:val="0"/>
        <w:pageBreakBefore w:val="0"/>
        <w:numPr>
          <w:ilvl w:val="0"/>
          <w:numId w:val="3"/>
        </w:numPr>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会计基础信息完善性</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具有</w:t>
      </w:r>
      <w:r>
        <w:rPr>
          <w:rFonts w:hint="default" w:ascii="微软雅黑" w:hAnsi="微软雅黑" w:eastAsia="微软雅黑" w:cs="微软雅黑"/>
          <w:i w:val="0"/>
          <w:caps w:val="0"/>
          <w:color w:val="404040"/>
          <w:spacing w:val="0"/>
          <w:kern w:val="0"/>
          <w:sz w:val="19"/>
          <w:szCs w:val="19"/>
          <w:u w:val="none"/>
          <w:shd w:val="clear" w:fill="FFFFFF"/>
          <w:lang w:val="en-US" w:eastAsia="zh-CN" w:bidi="ar"/>
        </w:rPr>
        <w:t>完善财务管理制度、规范会计核算基础。根据要求，以相关文件规定为基础，重新制定了</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工会财务制度</w:t>
      </w:r>
      <w:r>
        <w:rPr>
          <w:rFonts w:hint="default" w:ascii="微软雅黑" w:hAnsi="微软雅黑" w:eastAsia="微软雅黑" w:cs="微软雅黑"/>
          <w:i w:val="0"/>
          <w:caps w:val="0"/>
          <w:color w:val="404040"/>
          <w:spacing w:val="0"/>
          <w:kern w:val="0"/>
          <w:sz w:val="19"/>
          <w:szCs w:val="19"/>
          <w:u w:val="none"/>
          <w:shd w:val="clear" w:fill="FFFFFF"/>
          <w:lang w:val="en-US" w:eastAsia="zh-CN" w:bidi="ar"/>
        </w:rPr>
        <w:t>，《固定资产管理办法》，明确资产报废流程和各单位的职责。完善的制度体系加强了控制管理和监督检查，理顺了管理流程，提高了管理的精细化程度</w:t>
      </w: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（二）资产管理</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 xml:space="preserve"> 合理设置岗位，做好固定资产控制的风险点及防控措施。完善资产领用流程，明确资产使用和保管职责。</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（三）绩效管理</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严格按照绩效管理办法执行。开展绩效评价工作，做好绩效目标执行监控，绩效运行监督，支出进度跟进的工作。</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（四）部门预决算差异率</w:t>
      </w:r>
    </w:p>
    <w:p>
      <w:pPr>
        <w:keepNext w:val="0"/>
        <w:keepLines w:val="0"/>
        <w:pageBreakBefore w:val="0"/>
        <w:kinsoku/>
        <w:wordWrap/>
        <w:overflowPunct/>
        <w:topLinePunct w:val="0"/>
        <w:autoSpaceDE/>
        <w:autoSpaceDN/>
        <w:bidi w:val="0"/>
        <w:adjustRightInd/>
        <w:snapToGrid/>
        <w:spacing w:line="600" w:lineRule="exact"/>
        <w:ind w:left="105" w:leftChars="50"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部门预决算差异小，财务人员严格按照预算制度和会计制度编制和执行预算。</w:t>
      </w:r>
    </w:p>
    <w:p>
      <w:pPr>
        <w:keepNext w:val="0"/>
        <w:keepLines w:val="0"/>
        <w:pageBreakBefore w:val="0"/>
        <w:kinsoku/>
        <w:wordWrap/>
        <w:overflowPunct/>
        <w:topLinePunct w:val="0"/>
        <w:autoSpaceDE/>
        <w:autoSpaceDN/>
        <w:bidi w:val="0"/>
        <w:adjustRightInd/>
        <w:snapToGrid/>
        <w:spacing w:line="60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四、措施建议（整改措施、下一步工作举措）</w:t>
      </w:r>
    </w:p>
    <w:p>
      <w:pPr>
        <w:keepNext w:val="0"/>
        <w:keepLines w:val="0"/>
        <w:pageBreakBefore w:val="0"/>
        <w:kinsoku/>
        <w:wordWrap/>
        <w:overflowPunct/>
        <w:topLinePunct w:val="0"/>
        <w:autoSpaceDE/>
        <w:autoSpaceDN/>
        <w:bidi w:val="0"/>
        <w:adjustRightInd/>
        <w:snapToGrid/>
        <w:spacing w:line="560" w:lineRule="exact"/>
        <w:ind w:firstLine="380" w:firstLineChars="200"/>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继续将绩效管理工作贯彻项目的预算编制、资金支付和项目落实管理全过程，确保设定的绩效目标保质保量按时完成。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leftChars="0" w:right="0" w:firstLine="560" w:firstLineChars="200"/>
        <w:jc w:val="both"/>
        <w:textAlignment w:val="auto"/>
        <w:outlineLvl w:val="9"/>
        <w:rPr>
          <w:rFonts w:hint="eastAsia" w:ascii="微软雅黑" w:hAnsi="微软雅黑" w:eastAsia="微软雅黑" w:cs="微软雅黑"/>
          <w:i w:val="0"/>
          <w:caps w:val="0"/>
          <w:color w:val="404040"/>
          <w:spacing w:val="0"/>
          <w:kern w:val="0"/>
          <w:sz w:val="28"/>
          <w:szCs w:val="28"/>
          <w:u w:val="none"/>
          <w:shd w:val="clear" w:fill="FFFFFF"/>
          <w:lang w:val="en-US" w:eastAsia="zh-CN" w:bidi="ar"/>
        </w:rPr>
      </w:pPr>
      <w:r>
        <w:rPr>
          <w:rFonts w:hint="eastAsia" w:ascii="微软雅黑" w:hAnsi="微软雅黑" w:eastAsia="微软雅黑" w:cs="微软雅黑"/>
          <w:i w:val="0"/>
          <w:caps w:val="0"/>
          <w:color w:val="404040"/>
          <w:spacing w:val="0"/>
          <w:kern w:val="0"/>
          <w:sz w:val="28"/>
          <w:szCs w:val="28"/>
          <w:u w:val="none"/>
          <w:shd w:val="clear" w:fill="FFFFFF"/>
          <w:lang w:val="en-US" w:eastAsia="zh-CN" w:bidi="ar"/>
        </w:rPr>
        <w:t>项目支出绩效评价报告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项目概况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1、项目立项情况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近年来，为适应创新社会管理的需要，适应服务型工会建设需要，进一步夯实基层工会工作基础，科学配置工会资源，缓解工会工作用人不足的压力，根据《北京市总工会关于深化工会三级服务体系建设参与加强和创新社会管理的意见》（京工发〔2012〕47号）、《北京市专职工会社会工作者管理办法》（京工办发〔2020〕39号）、丰工发【2022】1号 《丰台区专职工会社会工作者管理办法（试行）》、丰社委发〔2023〕14号《丰台区进一步规范社区工作者工资待遇的方案》的通知等有关文件精神，丰台区总工会积极探索社会工作专业人才队伍建设，组建并建设丰台区专职工会社会工作者队伍。对工会专职工作者发放工资、缴纳其社会保险费、住房公积金、代缴个人所得税等。</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2、项目实施主体情况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本项目由北京市丰台区总工会开展实施。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项目资金情况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丰财政法年初批复[2024]14号，2024年工会工作者人员经费项目财政预算资金为800万元。项目总资金截止2024年12月底共支付金额为3296.17万元，超出预算部分以自筹资金支付。</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（三）绩效目标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根据工会工作需求，聘用专职工会社会工作者，形成专业化、职业化、社会化的专职社会工作者队伍。通过学习、宣传、贯彻党的路线、方针、政策和工会工作的法律法规，教育引导职工遵纪守法，自觉履行依法应尽的义务；掌握区域内职工和用人单位的基本情况；联系群众啊，职工群众广泛收集劳动关系职工需求社情民意等方面信息，掌握职工思想动态，反映职工诉求；指导基层单位建立工会组织，发展会员，收缴工会经费；采集会员和用人单位信息，协助办理京卡互助服务卡；开展信访接待、政策咨询、帮扶救助、职业介绍、职业助推、职工互助保障等工作；协助做好法律服务工作，协调劳动关系，调解劳动纠纷，开展集体协商、厂务公开、劳动安全监督等工作；完成上级工会交办的其他任务。</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二、评价工作简述</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（一）基本情况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1、评价的目的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通过对该项目开展绩效评价，促进北京市丰台区总工会项目资金预算的严谨性、规范化，完善项目管理的各项规章制度，提高项目支出财政资金使用的经济性、效率性和效益性。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评价的原则</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科学规范、公正公开、分级分类和绩效相关。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3、评价的方法</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评价工作组采用资料核查及服务对象满意度调查等方法；专家组通过对北京市丰台区总工会提交相关资料的阅读、分析及召开评价会质询，按照评价指标体系和评分标准，对“工会工作者人员经费”项目给予综合分析、考量，并各自独立出具专家评分、评价意见，最终由专家组组长汇总各个专家组成员的评价意见，填制专家意见汇总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4、评价指标体系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主要包括项目决策、项目过程、项目产出、项目效益4个方面，满分100分。一是决策指标(10分)，主要评价项目绩效目标和决策过程等内容；二是过程指标(20分)，主要评价项目资金和项目实施等内容；三是产出指标（40分），主要评价项目产出等内容，四是项目效益指标(30分)，主要评价项目效果等内容，评价指标体系如下：</w:t>
      </w:r>
    </w:p>
    <w:tbl>
      <w:tblPr>
        <w:tblStyle w:val="8"/>
        <w:tblW w:w="8359" w:type="dxa"/>
        <w:tblInd w:w="113" w:type="dxa"/>
        <w:tblLayout w:type="fixed"/>
        <w:tblCellMar>
          <w:top w:w="0" w:type="dxa"/>
          <w:left w:w="108" w:type="dxa"/>
          <w:bottom w:w="0" w:type="dxa"/>
          <w:right w:w="108" w:type="dxa"/>
        </w:tblCellMar>
      </w:tblPr>
      <w:tblGrid>
        <w:gridCol w:w="1129"/>
        <w:gridCol w:w="1560"/>
        <w:gridCol w:w="4819"/>
        <w:gridCol w:w="851"/>
      </w:tblGrid>
      <w:tr>
        <w:tblPrEx>
          <w:tblLayout w:type="fixed"/>
          <w:tblCellMar>
            <w:top w:w="0" w:type="dxa"/>
            <w:left w:w="108" w:type="dxa"/>
            <w:bottom w:w="0" w:type="dxa"/>
            <w:right w:w="108" w:type="dxa"/>
          </w:tblCellMar>
        </w:tblPrEx>
        <w:trPr>
          <w:trHeight w:val="365" w:hRule="atLeast"/>
        </w:trPr>
        <w:tc>
          <w:tcPr>
            <w:tcW w:w="112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等线" w:eastAsia="仿宋_GB2312" w:cs="宋体"/>
                <w:b/>
                <w:bCs/>
                <w:color w:val="000000"/>
                <w:kern w:val="0"/>
                <w:sz w:val="16"/>
                <w:szCs w:val="16"/>
              </w:rPr>
            </w:pPr>
            <w:r>
              <w:rPr>
                <w:rFonts w:hint="eastAsia" w:ascii="仿宋_GB2312" w:hAnsi="等线" w:eastAsia="仿宋_GB2312" w:cs="宋体"/>
                <w:b/>
                <w:bCs/>
                <w:color w:val="000000"/>
                <w:kern w:val="0"/>
                <w:sz w:val="16"/>
                <w:szCs w:val="16"/>
              </w:rPr>
              <w:t>一级指标</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b/>
                <w:bCs/>
                <w:color w:val="000000"/>
                <w:kern w:val="0"/>
                <w:sz w:val="16"/>
                <w:szCs w:val="16"/>
              </w:rPr>
            </w:pPr>
            <w:r>
              <w:rPr>
                <w:rFonts w:hint="eastAsia" w:ascii="仿宋_GB2312" w:hAnsi="等线" w:eastAsia="仿宋_GB2312" w:cs="宋体"/>
                <w:b/>
                <w:bCs/>
                <w:color w:val="000000"/>
                <w:kern w:val="0"/>
                <w:sz w:val="16"/>
                <w:szCs w:val="16"/>
              </w:rPr>
              <w:t>二级指标</w:t>
            </w:r>
          </w:p>
        </w:tc>
        <w:tc>
          <w:tcPr>
            <w:tcW w:w="48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b/>
                <w:bCs/>
                <w:color w:val="000000"/>
                <w:kern w:val="0"/>
                <w:sz w:val="16"/>
                <w:szCs w:val="16"/>
              </w:rPr>
            </w:pPr>
            <w:r>
              <w:rPr>
                <w:rFonts w:hint="eastAsia" w:ascii="仿宋_GB2312" w:hAnsi="等线" w:eastAsia="仿宋_GB2312" w:cs="宋体"/>
                <w:b/>
                <w:bCs/>
                <w:color w:val="000000"/>
                <w:kern w:val="0"/>
                <w:sz w:val="16"/>
                <w:szCs w:val="16"/>
              </w:rPr>
              <w:t>三级指标</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b/>
                <w:bCs/>
                <w:color w:val="000000"/>
                <w:kern w:val="0"/>
                <w:sz w:val="16"/>
                <w:szCs w:val="16"/>
              </w:rPr>
            </w:pPr>
            <w:r>
              <w:rPr>
                <w:rFonts w:hint="eastAsia" w:ascii="仿宋_GB2312" w:hAnsi="等线" w:eastAsia="仿宋_GB2312" w:cs="宋体"/>
                <w:b/>
                <w:bCs/>
                <w:color w:val="000000"/>
                <w:kern w:val="0"/>
                <w:sz w:val="16"/>
                <w:szCs w:val="16"/>
              </w:rPr>
              <w:t>分值</w:t>
            </w:r>
          </w:p>
        </w:tc>
      </w:tr>
      <w:tr>
        <w:tblPrEx>
          <w:tblLayout w:type="fixed"/>
          <w:tblCellMar>
            <w:top w:w="0" w:type="dxa"/>
            <w:left w:w="108" w:type="dxa"/>
            <w:bottom w:w="0" w:type="dxa"/>
            <w:right w:w="108" w:type="dxa"/>
          </w:tblCellMar>
        </w:tblPrEx>
        <w:trPr>
          <w:trHeight w:val="365" w:hRule="atLeast"/>
        </w:trPr>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决策（10分）　</w:t>
            </w:r>
          </w:p>
        </w:tc>
        <w:tc>
          <w:tcPr>
            <w:tcW w:w="15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项目立项（3分）　</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立项依据充分性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1.5</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立项程序规范性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1.5</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绩效目标（4分）　</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绩效目标合理性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continue"/>
            <w:tcBorders>
              <w:top w:val="nil"/>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绩效指标明确性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2</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资金投入（3分）</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预算编制科学性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1.5</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资金分配合理性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1.5</w:t>
            </w:r>
          </w:p>
        </w:tc>
      </w:tr>
      <w:tr>
        <w:tblPrEx>
          <w:tblLayout w:type="fixed"/>
          <w:tblCellMar>
            <w:top w:w="0" w:type="dxa"/>
            <w:left w:w="108" w:type="dxa"/>
            <w:bottom w:w="0" w:type="dxa"/>
            <w:right w:w="108" w:type="dxa"/>
          </w:tblCellMar>
        </w:tblPrEx>
        <w:trPr>
          <w:trHeight w:val="365" w:hRule="atLeast"/>
        </w:trPr>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color w:val="000000"/>
                <w:kern w:val="0"/>
                <w:sz w:val="16"/>
                <w:szCs w:val="16"/>
              </w:rPr>
            </w:pPr>
            <w:r>
              <w:rPr>
                <w:rFonts w:hint="eastAsia" w:ascii="宋体" w:hAnsi="宋体" w:cs="宋体"/>
                <w:color w:val="000000"/>
                <w:kern w:val="0"/>
                <w:sz w:val="16"/>
                <w:szCs w:val="16"/>
              </w:rPr>
              <w:t>过程</w:t>
            </w:r>
            <w:r>
              <w:rPr>
                <w:rFonts w:hint="eastAsia" w:ascii="仿宋_GB2312" w:hAnsi="等线" w:eastAsia="仿宋_GB2312" w:cs="宋体"/>
                <w:color w:val="000000"/>
                <w:kern w:val="0"/>
                <w:sz w:val="16"/>
                <w:szCs w:val="16"/>
              </w:rPr>
              <w:t>（</w:t>
            </w:r>
            <w:r>
              <w:rPr>
                <w:rFonts w:hint="eastAsia" w:ascii="宋体" w:hAnsi="宋体" w:cs="宋体"/>
                <w:color w:val="000000"/>
                <w:kern w:val="0"/>
                <w:sz w:val="16"/>
                <w:szCs w:val="16"/>
              </w:rPr>
              <w:t>20分）</w:t>
            </w:r>
          </w:p>
        </w:tc>
        <w:tc>
          <w:tcPr>
            <w:tcW w:w="15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资金管理（12分）</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资金到位率</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5</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预算执行率</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3</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资金使用合规性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组织实施（8分）</w:t>
            </w:r>
          </w:p>
        </w:tc>
        <w:tc>
          <w:tcPr>
            <w:tcW w:w="48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管理制度健全性</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制度执行有效性</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4</w:t>
            </w:r>
          </w:p>
        </w:tc>
      </w:tr>
      <w:tr>
        <w:tblPrEx>
          <w:tblLayout w:type="fixed"/>
          <w:tblCellMar>
            <w:top w:w="0" w:type="dxa"/>
            <w:left w:w="108" w:type="dxa"/>
            <w:bottom w:w="0" w:type="dxa"/>
            <w:right w:w="108" w:type="dxa"/>
          </w:tblCellMar>
        </w:tblPrEx>
        <w:trPr>
          <w:trHeight w:val="365" w:hRule="atLeast"/>
        </w:trPr>
        <w:tc>
          <w:tcPr>
            <w:tcW w:w="112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color w:val="000000"/>
                <w:kern w:val="0"/>
                <w:sz w:val="16"/>
                <w:szCs w:val="16"/>
              </w:rPr>
            </w:pPr>
            <w:r>
              <w:rPr>
                <w:rFonts w:hint="eastAsia" w:ascii="宋体" w:hAnsi="宋体" w:cs="宋体"/>
                <w:color w:val="000000"/>
                <w:kern w:val="0"/>
                <w:sz w:val="16"/>
                <w:szCs w:val="16"/>
              </w:rPr>
              <w:t>产出</w:t>
            </w:r>
            <w:r>
              <w:rPr>
                <w:rFonts w:hint="eastAsia" w:ascii="仿宋_GB2312" w:hAnsi="等线" w:eastAsia="仿宋_GB2312" w:cs="宋体"/>
                <w:color w:val="000000"/>
                <w:kern w:val="0"/>
                <w:sz w:val="16"/>
                <w:szCs w:val="16"/>
              </w:rPr>
              <w:t>（</w:t>
            </w:r>
            <w:r>
              <w:rPr>
                <w:rFonts w:hint="eastAsia" w:ascii="宋体" w:hAnsi="宋体" w:cs="宋体"/>
                <w:color w:val="000000"/>
                <w:kern w:val="0"/>
                <w:sz w:val="16"/>
                <w:szCs w:val="16"/>
              </w:rPr>
              <w:t>40分）</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产出数量（10分）</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实际完成率</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等线" w:eastAsia="仿宋_GB2312" w:cs="宋体"/>
                <w:color w:val="000000"/>
                <w:kern w:val="0"/>
                <w:sz w:val="16"/>
                <w:szCs w:val="16"/>
              </w:rPr>
            </w:pPr>
            <w:r>
              <w:rPr>
                <w:rFonts w:hint="eastAsia" w:ascii="宋体" w:hAnsi="宋体" w:cs="宋体"/>
                <w:color w:val="000000"/>
                <w:kern w:val="0"/>
                <w:sz w:val="16"/>
                <w:szCs w:val="16"/>
              </w:rPr>
              <w:t>产出质量（10分）</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质量达标率</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产出时效（10分）</w:t>
            </w:r>
          </w:p>
        </w:tc>
        <w:tc>
          <w:tcPr>
            <w:tcW w:w="4819"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完成及时性</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等线" w:eastAsia="仿宋_GB2312" w:cs="宋体"/>
                <w:color w:val="000000"/>
                <w:kern w:val="0"/>
                <w:sz w:val="16"/>
                <w:szCs w:val="16"/>
              </w:rPr>
            </w:pPr>
          </w:p>
        </w:tc>
        <w:tc>
          <w:tcPr>
            <w:tcW w:w="156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产出成本（10分）</w:t>
            </w:r>
          </w:p>
        </w:tc>
        <w:tc>
          <w:tcPr>
            <w:tcW w:w="48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成本节约率</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w:t>
            </w:r>
          </w:p>
        </w:tc>
      </w:tr>
      <w:tr>
        <w:tblPrEx>
          <w:tblLayout w:type="fixed"/>
          <w:tblCellMar>
            <w:top w:w="0" w:type="dxa"/>
            <w:left w:w="108" w:type="dxa"/>
            <w:bottom w:w="0" w:type="dxa"/>
            <w:right w:w="108" w:type="dxa"/>
          </w:tblCellMar>
        </w:tblPrEx>
        <w:trPr>
          <w:trHeight w:val="365"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效益(30分）</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项目效益（30分）</w:t>
            </w:r>
          </w:p>
        </w:tc>
        <w:tc>
          <w:tcPr>
            <w:tcW w:w="48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社会效益</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ascii="宋体" w:hAnsi="宋体" w:cs="宋体"/>
                <w:color w:val="000000"/>
                <w:kern w:val="0"/>
                <w:sz w:val="16"/>
                <w:szCs w:val="16"/>
              </w:rPr>
              <w:t>1</w:t>
            </w:r>
            <w:r>
              <w:rPr>
                <w:rFonts w:hint="eastAsia" w:ascii="宋体" w:hAnsi="宋体" w:cs="宋体"/>
                <w:color w:val="000000"/>
                <w:kern w:val="0"/>
                <w:sz w:val="16"/>
                <w:szCs w:val="16"/>
              </w:rPr>
              <w:t>0</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可持续影响</w:t>
            </w:r>
          </w:p>
        </w:tc>
        <w:tc>
          <w:tcPr>
            <w:tcW w:w="851"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w:t>
            </w:r>
            <w:r>
              <w:rPr>
                <w:rFonts w:ascii="宋体" w:hAnsi="宋体" w:cs="宋体"/>
                <w:color w:val="000000"/>
                <w:kern w:val="0"/>
                <w:sz w:val="16"/>
                <w:szCs w:val="16"/>
              </w:rPr>
              <w:t>0</w:t>
            </w:r>
          </w:p>
        </w:tc>
      </w:tr>
      <w:tr>
        <w:tblPrEx>
          <w:tblLayout w:type="fixed"/>
          <w:tblCellMar>
            <w:top w:w="0" w:type="dxa"/>
            <w:left w:w="108" w:type="dxa"/>
            <w:bottom w:w="0" w:type="dxa"/>
            <w:right w:w="108" w:type="dxa"/>
          </w:tblCellMar>
        </w:tblPrEx>
        <w:trPr>
          <w:trHeight w:val="365" w:hRule="atLeast"/>
        </w:trPr>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6"/>
                <w:szCs w:val="16"/>
              </w:rPr>
            </w:pPr>
          </w:p>
        </w:tc>
        <w:tc>
          <w:tcPr>
            <w:tcW w:w="48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满意度</w:t>
            </w:r>
          </w:p>
        </w:tc>
        <w:tc>
          <w:tcPr>
            <w:tcW w:w="85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10</w:t>
            </w:r>
          </w:p>
        </w:tc>
      </w:tr>
      <w:tr>
        <w:tblPrEx>
          <w:tblLayout w:type="fixed"/>
          <w:tblCellMar>
            <w:top w:w="0" w:type="dxa"/>
            <w:left w:w="108" w:type="dxa"/>
            <w:bottom w:w="0" w:type="dxa"/>
            <w:right w:w="108" w:type="dxa"/>
          </w:tblCellMar>
        </w:tblPrEx>
        <w:trPr>
          <w:trHeight w:val="365" w:hRule="atLeast"/>
        </w:trPr>
        <w:tc>
          <w:tcPr>
            <w:tcW w:w="75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16"/>
                <w:szCs w:val="16"/>
              </w:rPr>
            </w:pPr>
            <w:r>
              <w:rPr>
                <w:rFonts w:hint="eastAsia" w:ascii="宋体" w:hAnsi="宋体" w:cs="宋体"/>
                <w:color w:val="000000"/>
                <w:kern w:val="0"/>
                <w:sz w:val="16"/>
                <w:szCs w:val="16"/>
              </w:rPr>
              <w:t>总分</w:t>
            </w:r>
          </w:p>
        </w:tc>
        <w:tc>
          <w:tcPr>
            <w:tcW w:w="851" w:type="dxa"/>
            <w:tcBorders>
              <w:top w:val="nil"/>
              <w:left w:val="nil"/>
              <w:bottom w:val="single" w:color="auto" w:sz="4" w:space="0"/>
              <w:right w:val="single" w:color="auto" w:sz="4" w:space="0"/>
            </w:tcBorders>
            <w:vAlign w:val="center"/>
          </w:tcPr>
          <w:p>
            <w:pPr>
              <w:widowControl/>
              <w:ind w:right="160"/>
              <w:jc w:val="right"/>
              <w:rPr>
                <w:rFonts w:hint="eastAsia" w:ascii="宋体" w:hAnsi="宋体" w:cs="宋体"/>
                <w:color w:val="000000"/>
                <w:kern w:val="0"/>
                <w:sz w:val="16"/>
                <w:szCs w:val="16"/>
              </w:rPr>
            </w:pPr>
            <w:r>
              <w:rPr>
                <w:rFonts w:hint="eastAsia" w:ascii="宋体" w:hAnsi="宋体" w:cs="宋体"/>
                <w:color w:val="000000"/>
                <w:kern w:val="0"/>
                <w:sz w:val="16"/>
                <w:szCs w:val="16"/>
              </w:rPr>
              <w:t>100</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（二）评价组织实施</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2025年4月16日丰台区总工会关于开展工会工作者人员经费进行事后绩效评价（自评）工作会议，成立绩效评价工作组，4月17日制定完成了工会工作者人员经费绩效自评工作方案，组织绩效评价工作组成员学习《丰台区财政局绩效评价工作手册》及《北京市财政支出绩效评价实施细则》等相关文件。</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4月18日，组织针对性培训，评价工作组结合所负责项目的具体情况和特点对项目单位开展相关业务培训。</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4月19日至4月21日，项目单位准备相关资料，根据指标体系内容和绩效报告范本，撰写绩效报告并报送评价工作组。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4月21日至4月25日，评价工作组根据资料清单，结合部门或项目实际情况收集资料，对所收集的资料进行核实和全面分析，对重要的和存在疑问的基础数据资料进行核实确认。</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4月25日，遴选专家，组成专家评价工作组，与专家和项目单位共同完善项目评价工作方案并细化评价指标，明确指标权重和评分标准，制定评价指标体系。</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4月25日，确定评价指标最终稿。经双方沟通，由事务所组织召开视频会议。确定专家评审会时间。</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4月26日，组织实施开展视频评价会议。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4月29日，工作组汇总专家意见，形成评价报告初稿。与项目单位及业务科室沟通意见，修改和完善项目评价报告，形成正式稿（含简版报告）。</w:t>
      </w:r>
    </w:p>
    <w:tbl>
      <w:tblPr>
        <w:tblStyle w:val="8"/>
        <w:tblW w:w="8642" w:type="dxa"/>
        <w:tblInd w:w="113" w:type="dxa"/>
        <w:tblLayout w:type="fixed"/>
        <w:tblCellMar>
          <w:top w:w="0" w:type="dxa"/>
          <w:left w:w="108" w:type="dxa"/>
          <w:bottom w:w="0" w:type="dxa"/>
          <w:right w:w="108" w:type="dxa"/>
        </w:tblCellMar>
      </w:tblPr>
      <w:tblGrid>
        <w:gridCol w:w="1044"/>
        <w:gridCol w:w="1311"/>
        <w:gridCol w:w="1093"/>
        <w:gridCol w:w="516"/>
        <w:gridCol w:w="654"/>
        <w:gridCol w:w="654"/>
        <w:gridCol w:w="652"/>
        <w:gridCol w:w="654"/>
        <w:gridCol w:w="637"/>
        <w:gridCol w:w="718"/>
        <w:gridCol w:w="709"/>
      </w:tblGrid>
      <w:tr>
        <w:tblPrEx>
          <w:tblLayout w:type="fixed"/>
          <w:tblCellMar>
            <w:top w:w="0" w:type="dxa"/>
            <w:left w:w="108" w:type="dxa"/>
            <w:bottom w:w="0" w:type="dxa"/>
            <w:right w:w="108" w:type="dxa"/>
          </w:tblCellMar>
        </w:tblPrEx>
        <w:trPr>
          <w:trHeight w:val="396" w:hRule="atLeast"/>
        </w:trPr>
        <w:tc>
          <w:tcPr>
            <w:tcW w:w="104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一级指标</w:t>
            </w:r>
          </w:p>
        </w:tc>
        <w:tc>
          <w:tcPr>
            <w:tcW w:w="1311"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二级指标</w:t>
            </w: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三级指标</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分值</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lang w:eastAsia="zh-CN"/>
              </w:rPr>
            </w:pPr>
            <w:r>
              <w:rPr>
                <w:rFonts w:hint="default" w:ascii="仿宋_GB2312" w:hAnsi="等线" w:eastAsia="仿宋_GB2312" w:cs="仿宋_GB2312"/>
                <w:b/>
                <w:bCs/>
                <w:i w:val="0"/>
                <w:iCs w:val="0"/>
                <w:color w:val="000000"/>
                <w:kern w:val="0"/>
                <w:sz w:val="16"/>
                <w:szCs w:val="16"/>
                <w:u w:val="none"/>
                <w:lang w:val="en-US" w:eastAsia="zh-CN" w:bidi="ar"/>
              </w:rPr>
              <w:t>刘莉君</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lang w:val="en-US" w:eastAsia="zh-CN"/>
              </w:rPr>
            </w:pPr>
            <w:r>
              <w:rPr>
                <w:rFonts w:hint="default" w:ascii="仿宋_GB2312" w:hAnsi="等线" w:eastAsia="仿宋_GB2312" w:cs="仿宋_GB2312"/>
                <w:b/>
                <w:bCs/>
                <w:i w:val="0"/>
                <w:iCs w:val="0"/>
                <w:color w:val="000000"/>
                <w:kern w:val="0"/>
                <w:sz w:val="16"/>
                <w:szCs w:val="16"/>
                <w:u w:val="none"/>
                <w:lang w:val="en-US" w:eastAsia="zh-CN" w:bidi="ar"/>
              </w:rPr>
              <w:t>黄毅勤</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lang w:val="en-US" w:eastAsia="zh-CN"/>
              </w:rPr>
            </w:pPr>
            <w:r>
              <w:rPr>
                <w:rFonts w:hint="default" w:ascii="仿宋_GB2312" w:hAnsi="等线" w:eastAsia="仿宋_GB2312" w:cs="仿宋_GB2312"/>
                <w:b/>
                <w:bCs/>
                <w:i w:val="0"/>
                <w:iCs w:val="0"/>
                <w:color w:val="000000"/>
                <w:kern w:val="0"/>
                <w:sz w:val="16"/>
                <w:szCs w:val="16"/>
                <w:u w:val="none"/>
                <w:lang w:val="en-US" w:eastAsia="zh-CN" w:bidi="ar"/>
              </w:rPr>
              <w:t>杨松云</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lang w:val="en-US" w:eastAsia="zh-CN"/>
              </w:rPr>
            </w:pPr>
            <w:r>
              <w:rPr>
                <w:rFonts w:hint="default" w:ascii="仿宋_GB2312" w:hAnsi="等线" w:eastAsia="仿宋_GB2312" w:cs="仿宋_GB2312"/>
                <w:b/>
                <w:bCs/>
                <w:i w:val="0"/>
                <w:iCs w:val="0"/>
                <w:color w:val="000000"/>
                <w:kern w:val="0"/>
                <w:sz w:val="16"/>
                <w:szCs w:val="16"/>
                <w:u w:val="none"/>
                <w:lang w:val="en-US" w:eastAsia="zh-CN" w:bidi="ar"/>
              </w:rPr>
              <w:t>谢莉娇</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lang w:val="en-US" w:eastAsia="zh-CN"/>
              </w:rPr>
            </w:pPr>
            <w:r>
              <w:rPr>
                <w:rFonts w:hint="default" w:ascii="仿宋_GB2312" w:hAnsi="等线" w:eastAsia="仿宋_GB2312" w:cs="仿宋_GB2312"/>
                <w:b/>
                <w:bCs/>
                <w:i w:val="0"/>
                <w:iCs w:val="0"/>
                <w:color w:val="000000"/>
                <w:kern w:val="0"/>
                <w:sz w:val="16"/>
                <w:szCs w:val="16"/>
                <w:u w:val="none"/>
                <w:lang w:val="en-US" w:eastAsia="zh-CN" w:bidi="ar"/>
              </w:rPr>
              <w:t>赵耀</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合计</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b/>
                <w:bCs/>
                <w:color w:val="000000"/>
                <w:kern w:val="0"/>
                <w:sz w:val="16"/>
                <w:szCs w:val="16"/>
              </w:rPr>
            </w:pPr>
            <w:r>
              <w:rPr>
                <w:rFonts w:hint="default" w:ascii="仿宋_GB2312" w:hAnsi="等线" w:eastAsia="仿宋_GB2312" w:cs="仿宋_GB2312"/>
                <w:b/>
                <w:bCs/>
                <w:i w:val="0"/>
                <w:iCs w:val="0"/>
                <w:color w:val="000000"/>
                <w:kern w:val="0"/>
                <w:sz w:val="16"/>
                <w:szCs w:val="16"/>
                <w:u w:val="none"/>
                <w:lang w:val="en-US" w:eastAsia="zh-CN" w:bidi="ar"/>
              </w:rPr>
              <w:t>平均分</w:t>
            </w:r>
          </w:p>
        </w:tc>
      </w:tr>
      <w:tr>
        <w:tblPrEx>
          <w:tblLayout w:type="fixed"/>
          <w:tblCellMar>
            <w:top w:w="0" w:type="dxa"/>
            <w:left w:w="108" w:type="dxa"/>
            <w:bottom w:w="0" w:type="dxa"/>
            <w:right w:w="108" w:type="dxa"/>
          </w:tblCellMar>
        </w:tblPrEx>
        <w:trPr>
          <w:trHeight w:val="322" w:hRule="atLeast"/>
        </w:trPr>
        <w:tc>
          <w:tcPr>
            <w:tcW w:w="1044" w:type="dxa"/>
            <w:vMerge w:val="restart"/>
            <w:tcBorders>
              <w:top w:val="nil"/>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决策（10分）　</w:t>
            </w:r>
          </w:p>
        </w:tc>
        <w:tc>
          <w:tcPr>
            <w:tcW w:w="1311" w:type="dxa"/>
            <w:vMerge w:val="restart"/>
            <w:tcBorders>
              <w:top w:val="nil"/>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项目立项（3分）　</w:t>
            </w: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立项依据充分性</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1.2</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37"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18"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7.2</w:t>
            </w:r>
          </w:p>
        </w:tc>
        <w:tc>
          <w:tcPr>
            <w:tcW w:w="709"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1.44</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立项程序规范性</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637"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18"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w:t>
            </w:r>
          </w:p>
        </w:tc>
        <w:tc>
          <w:tcPr>
            <w:tcW w:w="709"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1.4</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绩效目标（4分）　</w:t>
            </w: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绩效目标合理性</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1.6</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continue"/>
            <w:tcBorders>
              <w:top w:val="single" w:color="auto" w:sz="4" w:space="0"/>
              <w:left w:val="single" w:color="auto" w:sz="4" w:space="0"/>
              <w:bottom w:val="nil"/>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绩效指标明确性</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1.2</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资金投入（3分）</w:t>
            </w: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预算编制科学性</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1.2</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637"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18"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6.2</w:t>
            </w:r>
          </w:p>
        </w:tc>
        <w:tc>
          <w:tcPr>
            <w:tcW w:w="709"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1.24</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资金分配合理性</w:t>
            </w:r>
          </w:p>
        </w:tc>
        <w:tc>
          <w:tcPr>
            <w:tcW w:w="516"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1.2</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2"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37"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718"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6.7</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1.34</w:t>
            </w:r>
          </w:p>
        </w:tc>
      </w:tr>
      <w:tr>
        <w:tblPrEx>
          <w:tblLayout w:type="fixed"/>
          <w:tblCellMar>
            <w:top w:w="0" w:type="dxa"/>
            <w:left w:w="108" w:type="dxa"/>
            <w:bottom w:w="0" w:type="dxa"/>
            <w:right w:w="108" w:type="dxa"/>
          </w:tblCellMar>
        </w:tblPrEx>
        <w:trPr>
          <w:trHeight w:val="538" w:hRule="atLeast"/>
        </w:trPr>
        <w:tc>
          <w:tcPr>
            <w:tcW w:w="1044"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过程</w:t>
            </w:r>
            <w:r>
              <w:rPr>
                <w:rFonts w:hint="default" w:ascii="仿宋_GB2312" w:hAnsi="宋体" w:eastAsia="仿宋_GB2312" w:cs="仿宋_GB231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20分）</w:t>
            </w:r>
          </w:p>
        </w:tc>
        <w:tc>
          <w:tcPr>
            <w:tcW w:w="131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资金管理（12分）</w:t>
            </w: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资金到位率</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25</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w:t>
            </w:r>
          </w:p>
        </w:tc>
      </w:tr>
      <w:tr>
        <w:tblPrEx>
          <w:tblLayout w:type="fixed"/>
          <w:tblCellMar>
            <w:top w:w="0" w:type="dxa"/>
            <w:left w:w="108" w:type="dxa"/>
            <w:bottom w:w="0" w:type="dxa"/>
            <w:right w:w="108" w:type="dxa"/>
          </w:tblCellMar>
        </w:tblPrEx>
        <w:trPr>
          <w:trHeight w:val="561" w:hRule="atLeast"/>
        </w:trPr>
        <w:tc>
          <w:tcPr>
            <w:tcW w:w="1044"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预算执行率</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2"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37"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718"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709"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资金使用合规性</w:t>
            </w:r>
          </w:p>
        </w:tc>
        <w:tc>
          <w:tcPr>
            <w:tcW w:w="516"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3.5</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2"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37"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718"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18.5</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3.7</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组织实施（8分）</w:t>
            </w: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管理制度健全性</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17</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3.4</w:t>
            </w:r>
          </w:p>
        </w:tc>
      </w:tr>
      <w:tr>
        <w:tblPrEx>
          <w:tblLayout w:type="fixed"/>
          <w:tblCellMar>
            <w:top w:w="0" w:type="dxa"/>
            <w:left w:w="108" w:type="dxa"/>
            <w:bottom w:w="0" w:type="dxa"/>
            <w:right w:w="108" w:type="dxa"/>
          </w:tblCellMar>
        </w:tblPrEx>
        <w:trPr>
          <w:trHeight w:val="204" w:hRule="atLeast"/>
        </w:trPr>
        <w:tc>
          <w:tcPr>
            <w:tcW w:w="1044"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制度执行有效性</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654"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4"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52"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654"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637"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718"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13.5</w:t>
            </w:r>
          </w:p>
        </w:tc>
        <w:tc>
          <w:tcPr>
            <w:tcW w:w="709" w:type="dxa"/>
            <w:tcBorders>
              <w:top w:val="nil"/>
              <w:left w:val="nil"/>
              <w:bottom w:val="nil"/>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2.7</w:t>
            </w:r>
          </w:p>
        </w:tc>
      </w:tr>
      <w:tr>
        <w:tblPrEx>
          <w:tblLayout w:type="fixed"/>
          <w:tblCellMar>
            <w:top w:w="0" w:type="dxa"/>
            <w:left w:w="108" w:type="dxa"/>
            <w:bottom w:w="0" w:type="dxa"/>
            <w:right w:w="108" w:type="dxa"/>
          </w:tblCellMar>
        </w:tblPrEx>
        <w:trPr>
          <w:trHeight w:val="306" w:hRule="atLeast"/>
        </w:trPr>
        <w:tc>
          <w:tcPr>
            <w:tcW w:w="1044" w:type="dxa"/>
            <w:vMerge w:val="restart"/>
            <w:tcBorders>
              <w:top w:val="nil"/>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仿宋_GB2312" w:hAnsi="等线" w:eastAsia="仿宋_GB2312"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产出</w:t>
            </w:r>
            <w:r>
              <w:rPr>
                <w:rFonts w:hint="default" w:ascii="仿宋_GB2312" w:hAnsi="宋体" w:eastAsia="仿宋_GB2312" w:cs="仿宋_GB2312"/>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40分）</w:t>
            </w:r>
          </w:p>
        </w:tc>
        <w:tc>
          <w:tcPr>
            <w:tcW w:w="1311"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产出数量（10分）</w:t>
            </w: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实际完成率</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49</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9.8</w:t>
            </w:r>
          </w:p>
        </w:tc>
      </w:tr>
      <w:tr>
        <w:tblPrEx>
          <w:tblLayout w:type="fixed"/>
          <w:tblCellMar>
            <w:top w:w="0" w:type="dxa"/>
            <w:left w:w="108" w:type="dxa"/>
            <w:bottom w:w="0" w:type="dxa"/>
            <w:right w:w="108" w:type="dxa"/>
          </w:tblCellMar>
        </w:tblPrEx>
        <w:trPr>
          <w:trHeight w:val="420" w:hRule="atLeast"/>
        </w:trPr>
        <w:tc>
          <w:tcPr>
            <w:tcW w:w="1044" w:type="dxa"/>
            <w:vMerge w:val="continue"/>
            <w:tcBorders>
              <w:top w:val="nil"/>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产出质量（10分）</w:t>
            </w:r>
          </w:p>
        </w:tc>
        <w:tc>
          <w:tcPr>
            <w:tcW w:w="1093"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质量达标率</w:t>
            </w:r>
          </w:p>
        </w:tc>
        <w:tc>
          <w:tcPr>
            <w:tcW w:w="516"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37"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718"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44</w:t>
            </w:r>
          </w:p>
        </w:tc>
        <w:tc>
          <w:tcPr>
            <w:tcW w:w="709" w:type="dxa"/>
            <w:tcBorders>
              <w:top w:val="nil"/>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8.8</w:t>
            </w:r>
          </w:p>
        </w:tc>
      </w:tr>
      <w:tr>
        <w:tblPrEx>
          <w:tblLayout w:type="fixed"/>
          <w:tblCellMar>
            <w:top w:w="0" w:type="dxa"/>
            <w:left w:w="108" w:type="dxa"/>
            <w:bottom w:w="0" w:type="dxa"/>
            <w:right w:w="108" w:type="dxa"/>
          </w:tblCellMar>
        </w:tblPrEx>
        <w:trPr>
          <w:trHeight w:val="38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产出时效（10分）</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完成及时性</w:t>
            </w:r>
          </w:p>
        </w:tc>
        <w:tc>
          <w:tcPr>
            <w:tcW w:w="516"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2"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718"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50</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r>
      <w:tr>
        <w:tblPrEx>
          <w:tblLayout w:type="fixed"/>
          <w:tblCellMar>
            <w:top w:w="0" w:type="dxa"/>
            <w:left w:w="108" w:type="dxa"/>
            <w:bottom w:w="0" w:type="dxa"/>
            <w:right w:w="108" w:type="dxa"/>
          </w:tblCellMar>
        </w:tblPrEx>
        <w:trPr>
          <w:trHeight w:val="384"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仿宋_GB2312" w:hAnsi="等线" w:eastAsia="仿宋_GB2312" w:cs="宋体"/>
                <w:color w:val="000000"/>
                <w:kern w:val="0"/>
                <w:sz w:val="16"/>
                <w:szCs w:val="16"/>
              </w:rPr>
            </w:pPr>
          </w:p>
        </w:tc>
        <w:tc>
          <w:tcPr>
            <w:tcW w:w="1311"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产出成本（10分）</w:t>
            </w: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成本节约率</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43</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8.6</w:t>
            </w:r>
          </w:p>
        </w:tc>
      </w:tr>
      <w:tr>
        <w:tblPrEx>
          <w:tblLayout w:type="fixed"/>
          <w:tblCellMar>
            <w:top w:w="0" w:type="dxa"/>
            <w:left w:w="108" w:type="dxa"/>
            <w:bottom w:w="0" w:type="dxa"/>
            <w:right w:w="108" w:type="dxa"/>
          </w:tblCellMar>
        </w:tblPrEx>
        <w:trPr>
          <w:trHeight w:val="558" w:hRule="atLeast"/>
        </w:trPr>
        <w:tc>
          <w:tcPr>
            <w:tcW w:w="1044"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效益(30分）</w:t>
            </w:r>
          </w:p>
        </w:tc>
        <w:tc>
          <w:tcPr>
            <w:tcW w:w="1311" w:type="dxa"/>
            <w:vMerge w:val="restart"/>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项目效益（30分）</w:t>
            </w:r>
          </w:p>
        </w:tc>
        <w:tc>
          <w:tcPr>
            <w:tcW w:w="1093"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社会效益</w:t>
            </w:r>
          </w:p>
        </w:tc>
        <w:tc>
          <w:tcPr>
            <w:tcW w:w="516"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654"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37"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718"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41</w:t>
            </w:r>
          </w:p>
        </w:tc>
        <w:tc>
          <w:tcPr>
            <w:tcW w:w="709" w:type="dxa"/>
            <w:tcBorders>
              <w:top w:val="single" w:color="auto" w:sz="4" w:space="0"/>
              <w:left w:val="single" w:color="auto" w:sz="4" w:space="0"/>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8.2</w:t>
            </w:r>
          </w:p>
        </w:tc>
      </w:tr>
      <w:tr>
        <w:tblPrEx>
          <w:tblLayout w:type="fixed"/>
          <w:tblCellMar>
            <w:top w:w="0" w:type="dxa"/>
            <w:left w:w="108" w:type="dxa"/>
            <w:bottom w:w="0" w:type="dxa"/>
            <w:right w:w="108" w:type="dxa"/>
          </w:tblCellMar>
        </w:tblPrEx>
        <w:trPr>
          <w:trHeight w:val="552"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可持续影响</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40</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r>
      <w:tr>
        <w:tblPrEx>
          <w:tblLayout w:type="fixed"/>
          <w:tblCellMar>
            <w:top w:w="0" w:type="dxa"/>
            <w:left w:w="108" w:type="dxa"/>
            <w:bottom w:w="0" w:type="dxa"/>
            <w:right w:w="108" w:type="dxa"/>
          </w:tblCellMar>
        </w:tblPrEx>
        <w:trPr>
          <w:trHeight w:val="552" w:hRule="atLeast"/>
        </w:trPr>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311" w:type="dxa"/>
            <w:vMerge w:val="continue"/>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ascii="宋体" w:hAnsi="宋体" w:eastAsia="宋体" w:cs="宋体"/>
                <w:color w:val="000000"/>
                <w:kern w:val="0"/>
                <w:sz w:val="16"/>
                <w:szCs w:val="16"/>
              </w:rPr>
            </w:pPr>
          </w:p>
        </w:tc>
        <w:tc>
          <w:tcPr>
            <w:tcW w:w="1093"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满意度</w:t>
            </w:r>
          </w:p>
        </w:tc>
        <w:tc>
          <w:tcPr>
            <w:tcW w:w="516"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6</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39</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7.8</w:t>
            </w:r>
          </w:p>
        </w:tc>
      </w:tr>
      <w:tr>
        <w:tblPrEx>
          <w:tblLayout w:type="fixed"/>
          <w:tblCellMar>
            <w:top w:w="0" w:type="dxa"/>
            <w:left w:w="108" w:type="dxa"/>
            <w:bottom w:w="0" w:type="dxa"/>
            <w:right w:w="108" w:type="dxa"/>
          </w:tblCellMar>
        </w:tblPrEx>
        <w:trPr>
          <w:trHeight w:val="636" w:hRule="atLeast"/>
        </w:trPr>
        <w:tc>
          <w:tcPr>
            <w:tcW w:w="3448"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等线" w:hAnsi="等线" w:eastAsia="等线" w:cs="宋体"/>
                <w:b/>
                <w:bCs/>
                <w:color w:val="000000"/>
                <w:kern w:val="0"/>
                <w:sz w:val="16"/>
                <w:szCs w:val="16"/>
              </w:rPr>
            </w:pPr>
            <w:r>
              <w:rPr>
                <w:rFonts w:hint="eastAsia" w:ascii="等线" w:hAnsi="等线" w:eastAsia="等线" w:cs="等线"/>
                <w:b/>
                <w:bCs/>
                <w:i w:val="0"/>
                <w:iCs w:val="0"/>
                <w:color w:val="000000"/>
                <w:kern w:val="0"/>
                <w:sz w:val="16"/>
                <w:szCs w:val="16"/>
                <w:u w:val="none"/>
                <w:lang w:val="en-US" w:eastAsia="zh-CN" w:bidi="ar"/>
              </w:rPr>
              <w:t>总分</w:t>
            </w:r>
          </w:p>
        </w:tc>
        <w:tc>
          <w:tcPr>
            <w:tcW w:w="51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color w:val="000000"/>
                <w:kern w:val="0"/>
                <w:sz w:val="16"/>
                <w:szCs w:val="16"/>
              </w:rPr>
            </w:pPr>
            <w:r>
              <w:rPr>
                <w:rFonts w:hint="eastAsia" w:ascii="宋体" w:hAnsi="宋体" w:eastAsia="宋体" w:cs="宋体"/>
                <w:b/>
                <w:bCs/>
                <w:i w:val="0"/>
                <w:iCs w:val="0"/>
                <w:color w:val="000000"/>
                <w:kern w:val="0"/>
                <w:sz w:val="16"/>
                <w:szCs w:val="16"/>
                <w:u w:val="none"/>
                <w:lang w:val="en-US" w:eastAsia="zh-CN" w:bidi="ar"/>
              </w:rPr>
              <w:t>100</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85.6</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87</w:t>
            </w:r>
          </w:p>
        </w:tc>
        <w:tc>
          <w:tcPr>
            <w:tcW w:w="652"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89</w:t>
            </w:r>
          </w:p>
        </w:tc>
        <w:tc>
          <w:tcPr>
            <w:tcW w:w="654"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88</w:t>
            </w:r>
          </w:p>
        </w:tc>
        <w:tc>
          <w:tcPr>
            <w:tcW w:w="637"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86.5</w:t>
            </w:r>
          </w:p>
        </w:tc>
        <w:tc>
          <w:tcPr>
            <w:tcW w:w="718"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436.1</w:t>
            </w:r>
          </w:p>
        </w:tc>
        <w:tc>
          <w:tcPr>
            <w:tcW w:w="709" w:type="dxa"/>
            <w:tcBorders>
              <w:top w:val="single" w:color="auto" w:sz="4" w:space="0"/>
              <w:left w:val="nil"/>
              <w:bottom w:val="single" w:color="auto" w:sz="4" w:space="0"/>
              <w:right w:val="single" w:color="auto" w:sz="4" w:space="0"/>
            </w:tcBorders>
            <w:shd w:val="clear" w:color="000000" w:fill="FFFFFF"/>
            <w:vAlign w:val="bottom"/>
          </w:tcPr>
          <w:p>
            <w:pPr>
              <w:keepNext w:val="0"/>
              <w:keepLines w:val="0"/>
              <w:widowControl/>
              <w:suppressLineNumbers w:val="0"/>
              <w:jc w:val="center"/>
              <w:textAlignment w:val="bottom"/>
              <w:rPr>
                <w:rFonts w:hint="eastAsia" w:ascii="宋体" w:hAnsi="宋体" w:eastAsia="宋体" w:cs="宋体"/>
                <w:color w:val="000000"/>
                <w:kern w:val="0"/>
                <w:sz w:val="16"/>
                <w:szCs w:val="16"/>
              </w:rPr>
            </w:pPr>
            <w:r>
              <w:rPr>
                <w:rFonts w:hint="eastAsia" w:ascii="宋体" w:hAnsi="宋体" w:eastAsia="宋体" w:cs="宋体"/>
                <w:i w:val="0"/>
                <w:iCs w:val="0"/>
                <w:color w:val="000000"/>
                <w:kern w:val="0"/>
                <w:sz w:val="16"/>
                <w:szCs w:val="16"/>
                <w:u w:val="none"/>
                <w:lang w:val="en-US" w:eastAsia="zh-CN" w:bidi="ar"/>
              </w:rPr>
              <w:t>87.22</w:t>
            </w:r>
          </w:p>
        </w:tc>
      </w:tr>
    </w:tbl>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三、综合评价情况及评价结论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该项目立项依据较为充分，资金使用符合相关的财务管理制度规定。需要改进的是：应根据绩效评价的要求，进一步完善和规范相关材料，做到程序规范、管理留痕，提高绩效管理水平，使绩效考评依据充分。“工会工作者人员经费”项目绩效评价综合得分87.22分，项目综合绩效评定结论为“良”。</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四、绩效评价指标分析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（一）项目决策情况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1、项目立项分析：项目为延续性项目，立项缺乏可行性研究和论证。故考评平均分为2.84分，失分率为5.33%。</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2、绩效目标分析：绩效目标设定不够合理，明确相应产出和效果，绩效指标不够细化量化，不够明确和可衡量缺乏。故考评平均分为2.80分，失分率为30.00%。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3、资金投入分析：项目资金分配比较合理，但预算编制未结合实际岗位配置和人员实际数量测算。故考评平均分为2.58分，失分率为14.00%。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项目决策指标分值满分10分，综合得分8.22分。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（二）项目过程情况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1、资金管理分析：资金使用较为符合相关的财务管理制度规定，但考核优秀者奖励依据不足。故考评平均分为11.70分，失分率为2.50%。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2、组织实施分析：实施方案不够完善，管理责任不够明确，，对劳务派遣公司的服务内容和职责不够清晰。考评平均分为6.10分，失分率为23.75%。</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项目过程指标分值满分20分，综合得分17.80分。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（三）项目产出情况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1、产出数量分析：项目产出数量不细化量化，可衡量性缺乏。故考评平均分为9.80分，失分率为2.00%。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2、产出质量分析：项目质量标准设置不清晰，证明材料不够充分。故考评平均分为8.80分，失分率为12.00%。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3、产出时效分析：项目实际完成时间与计划完成时间一致。故考评平均分为10.00分，失分率为0.00%。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4、产出成本分析：项目资料无法体现成本节约情况。故考评平均分为8.60分，失分率为14.00%。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项目产出指标分值满分40分，综合得分37.20分。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（四）项目效益情况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1、社会效益分析：提供的效益资料与项目匹配和相关度不足。故考评平均分为8.20分，失分率为18.00%。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2、可持续影响：可持续影响证明性资料体现不够充分。故考评平均分为8.00分，失分率为20.00%。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3、满意度分析：调查范围不够全面，项目受益对象和范围不明确，不能充分体现工会会员和工会社工所服务工会的满意程度。故考评平均分为7.80分，失分率为22.00%。</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项目效益指标分值满分30分，综合得分24分。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五、存在的问题及原因分析</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1、项目为延续性项目，政策依据为2012年第23次丰台区区长办公会会议纪要和京工办发【2020】39号，缺少最近年度相关决策依据，缺少项目整体规划和按照零基预算原则做好本年度用人需求分析和岗位分布。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2、项目绩效目标效益指标较为笼统，没有细化量化指标，只设定“达到预期目标”不可衡量。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3、项目实施方案不够完善，缺少人员职责分工，对劳务派遣公司及人员管理只有要求，缺少检查控制措施，项目结项验收等程序。</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4、合同签订严谨性不足，合同条款内容部分不够合理，对劳务派遣公司的服务内容和职责约束性条款不够明确，部分内容合理性不足，决策依据和付费标准依据不充分。</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5、项目完成情况与绩效目标申报表产出指标差异较大，与经费支出内容匹配不足，项目绩效呈现与项目相关度、匹配度不足。</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6、满意度调查问卷160份，调查对象及范围不够明确，且样本量与服务范围人群比例过小，不能全面客观反映项目成果。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六、有关建议</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1、建议项目单位按照零基预算的管理要求，对项目的政策依据和决策依据梳理更新，做好项目岗位需求论证，加强项目决策的充分性。</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2、提高绩效管理意识，认真科学编制与项目内容匹配适用的绩效目标申报表，以供项目管理控制、后期衡量、评价。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3、完善项目管理制度和实施方案，保障项目实施过程的科学、规范、严谨，确保服务人员质量和工作质量。特别是合同管理，防范实施风险。</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4、注重项目绩效的资料数据的支撑及与项目的匹配，客观呈现项目绩效。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 xml:space="preserve">七、附件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1、单位（部门）绩效报告</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2、项目绩效目标完成情况及收支明细表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3、项目指标体系及分值</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4、专家评价书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5、专家意见汇总书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6、专家相关资质证明</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7、专家承诺书</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8、绩效评价报告意见反馈表</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420" w:leftChars="0" w:right="0" w:rightChars="0" w:firstLine="380" w:firstLineChars="200"/>
        <w:jc w:val="both"/>
        <w:textAlignment w:val="auto"/>
        <w:outlineLvl w:val="9"/>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r>
        <w:rPr>
          <w:rFonts w:hint="eastAsia" w:ascii="微软雅黑" w:hAnsi="微软雅黑" w:eastAsia="微软雅黑" w:cs="微软雅黑"/>
          <w:i w:val="0"/>
          <w:caps w:val="0"/>
          <w:color w:val="404040"/>
          <w:spacing w:val="0"/>
          <w:kern w:val="0"/>
          <w:sz w:val="19"/>
          <w:szCs w:val="19"/>
          <w:u w:val="none"/>
          <w:shd w:val="clear" w:fill="FFFFFF"/>
          <w:lang w:val="en-US" w:eastAsia="zh-CN" w:bidi="ar"/>
        </w:rPr>
        <w:t>9、说明问题的部分依据</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both"/>
        <w:rPr>
          <w:rFonts w:hint="eastAsia" w:ascii="微软雅黑" w:hAnsi="微软雅黑" w:eastAsia="微软雅黑" w:cs="微软雅黑"/>
          <w:i w:val="0"/>
          <w:caps w:val="0"/>
          <w:color w:val="404040"/>
          <w:spacing w:val="0"/>
          <w:kern w:val="0"/>
          <w:sz w:val="19"/>
          <w:szCs w:val="19"/>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ascii="微软雅黑" w:hAnsi="微软雅黑" w:eastAsia="微软雅黑" w:cs="微软雅黑"/>
          <w:i w:val="0"/>
          <w:caps w:val="0"/>
          <w:color w:val="404040"/>
          <w:spacing w:val="0"/>
          <w:kern w:val="0"/>
          <w:sz w:val="36"/>
          <w:szCs w:val="36"/>
          <w:u w:val="none"/>
          <w:shd w:val="clear" w:fill="FFFFFF"/>
          <w:lang w:val="en-US" w:eastAsia="zh-CN" w:bidi="ar"/>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200" w:right="0" w:rightChars="0"/>
        <w:jc w:val="both"/>
        <w:rPr>
          <w:rFonts w:hint="eastAsia"/>
          <w:sz w:val="52"/>
          <w:szCs w:val="52"/>
          <w:lang w:val="en-US" w:eastAsia="zh-CN"/>
        </w:rPr>
      </w:pPr>
      <w:r>
        <w:rPr>
          <w:rFonts w:hint="eastAsia" w:ascii="微软雅黑" w:hAnsi="微软雅黑" w:eastAsia="微软雅黑" w:cs="微软雅黑"/>
          <w:i w:val="0"/>
          <w:caps w:val="0"/>
          <w:color w:val="404040"/>
          <w:spacing w:val="0"/>
          <w:kern w:val="0"/>
          <w:sz w:val="36"/>
          <w:szCs w:val="36"/>
          <w:u w:val="none"/>
          <w:shd w:val="clear" w:fill="FFFFFF"/>
          <w:lang w:val="en-US" w:eastAsia="zh-CN" w:bidi="ar"/>
        </w:rPr>
        <w:t>三、项目支出绩效自评表</w:t>
      </w:r>
    </w:p>
    <w:p>
      <w:pPr>
        <w:spacing w:line="480" w:lineRule="exact"/>
        <w:ind w:firstLine="2520" w:firstLineChars="700"/>
        <w:rPr>
          <w:rFonts w:hint="eastAsia" w:ascii="方正小标宋简体" w:hAnsi="黑体" w:eastAsia="方正小标宋简体"/>
          <w:sz w:val="36"/>
          <w:szCs w:val="36"/>
          <w:highlight w:val="none"/>
        </w:rPr>
      </w:pPr>
      <w:bookmarkStart w:id="0" w:name="OLE_LINK3"/>
      <w:r>
        <w:rPr>
          <w:rFonts w:hint="eastAsia" w:ascii="方正小标宋简体" w:hAnsi="黑体" w:eastAsia="方正小标宋简体"/>
          <w:sz w:val="36"/>
          <w:szCs w:val="36"/>
          <w:highlight w:val="none"/>
        </w:rPr>
        <w:t>项目支出绩效自评表</w:t>
      </w:r>
    </w:p>
    <w:p>
      <w:pPr>
        <w:spacing w:line="480" w:lineRule="exact"/>
        <w:rPr>
          <w:rFonts w:hint="eastAsia"/>
          <w:sz w:val="40"/>
          <w:szCs w:val="40"/>
          <w:lang w:val="en-US" w:eastAsia="zh-CN"/>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tbl>
      <w:tblPr>
        <w:tblStyle w:val="8"/>
        <w:tblpPr w:leftFromText="180" w:rightFromText="180" w:vertAnchor="text" w:horzAnchor="page" w:tblpX="1374" w:tblpY="687"/>
        <w:tblOverlap w:val="never"/>
        <w:tblW w:w="9038" w:type="dxa"/>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基层党组织党建活动经费</w:t>
            </w:r>
          </w:p>
        </w:tc>
      </w:tr>
      <w:tr>
        <w:tblPrEx>
          <w:tblLayout w:type="fixed"/>
          <w:tblCellMar>
            <w:top w:w="0" w:type="dxa"/>
            <w:left w:w="108" w:type="dxa"/>
            <w:bottom w:w="0" w:type="dxa"/>
            <w:right w:w="108" w:type="dxa"/>
          </w:tblCellMar>
        </w:tblPrEx>
        <w:trPr>
          <w:trHeight w:val="602" w:hRule="exact"/>
        </w:trPr>
        <w:tc>
          <w:tcPr>
            <w:tcW w:w="1560"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lang w:eastAsia="zh-CN"/>
              </w:rPr>
              <w:t>北京市丰台区总工会</w:t>
            </w:r>
          </w:p>
        </w:tc>
        <w:tc>
          <w:tcPr>
            <w:tcW w:w="1127" w:type="dxa"/>
            <w:gridSpan w:val="2"/>
            <w:tcBorders>
              <w:top w:val="nil"/>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党建人事部</w:t>
            </w:r>
          </w:p>
        </w:tc>
      </w:tr>
      <w:tr>
        <w:tblPrEx>
          <w:tblLayout w:type="fixed"/>
          <w:tblCellMar>
            <w:top w:w="0" w:type="dxa"/>
            <w:left w:w="108" w:type="dxa"/>
            <w:bottom w:w="0" w:type="dxa"/>
            <w:right w:w="108" w:type="dxa"/>
          </w:tblCellMar>
        </w:tblPrEx>
        <w:trPr>
          <w:trHeight w:val="567" w:hRule="exact"/>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Layout w:type="fixed"/>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1.408</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1.408</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1.408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Layout w:type="fixed"/>
          <w:tblCellMar>
            <w:top w:w="0" w:type="dxa"/>
            <w:left w:w="108" w:type="dxa"/>
            <w:bottom w:w="0" w:type="dxa"/>
            <w:right w:w="108" w:type="dxa"/>
          </w:tblCellMar>
        </w:tblPrEx>
        <w:trPr>
          <w:trHeight w:val="601"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67"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306" w:hRule="exact"/>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48" w:hRule="exact"/>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2499" w:hRule="exact"/>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保障基层党组织正常开展党建活动，打牢基层党建工作基层，切实增强基层党组织的战斗力、凝聚力和创造力，建设学习型、服务型、创新型基层党组织。具体内容包括：党员教育管理和权利保障；走访、慰问、表彰、奖励党员和补助生活困难党员；建立、维护基层党组织工作和活动场地；丰富基层党组织的活动内容和活动形式；其他经审批的事项。</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bookmarkStart w:id="1" w:name="OLE_LINK1"/>
            <w:r>
              <w:rPr>
                <w:rFonts w:hint="eastAsia" w:ascii="仿宋_GB2312" w:hAnsi="宋体" w:eastAsia="仿宋_GB2312" w:cs="宋体"/>
                <w:kern w:val="0"/>
                <w:sz w:val="21"/>
                <w:szCs w:val="21"/>
                <w:lang w:eastAsia="zh-CN"/>
              </w:rPr>
              <w:t>开展党纪学习教育，参观大兴区委党校廉政教育基地，组织党员干部集中学习、专题研讨，邀请专家教授开展学习讲座，并为党员干部配发各类学习书籍。组织开展党日活动，参观丰台区档案馆新馆、首都博物馆、北京市全面从严治党警示教育基地等红色教育基地。结合双报到，组织党员干部积极参与共建社区周末卫生大扫除活动。</w:t>
            </w:r>
            <w:bookmarkEnd w:id="1"/>
          </w:p>
        </w:tc>
      </w:tr>
      <w:tr>
        <w:tblPrEx>
          <w:tblLayout w:type="fixed"/>
          <w:tblCellMar>
            <w:top w:w="0" w:type="dxa"/>
            <w:left w:w="108" w:type="dxa"/>
            <w:bottom w:w="0" w:type="dxa"/>
            <w:right w:w="108" w:type="dxa"/>
          </w:tblCellMar>
        </w:tblPrEx>
        <w:trPr>
          <w:trHeight w:val="830" w:hRule="exact"/>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Layout w:type="fixed"/>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举办活动次数</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kern w:val="0"/>
                <w:sz w:val="21"/>
                <w:szCs w:val="21"/>
                <w:highlight w:val="none"/>
                <w:lang w:val="en-US" w:eastAsia="zh-CN"/>
              </w:rPr>
              <w:t>12</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305"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上座率</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kern w:val="0"/>
                <w:sz w:val="21"/>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kern w:val="0"/>
                <w:sz w:val="21"/>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pStyle w:val="2"/>
              <w:ind w:left="0" w:leftChars="0" w:firstLine="0" w:firstLineChars="0"/>
              <w:rPr>
                <w:rFonts w:hint="eastAsia"/>
                <w:sz w:val="11"/>
                <w:szCs w:val="11"/>
                <w:lang w:eastAsia="zh-CN"/>
              </w:rPr>
            </w:pPr>
          </w:p>
        </w:tc>
      </w:tr>
      <w:tr>
        <w:tblPrEx>
          <w:tblLayout w:type="fixed"/>
          <w:tblCellMar>
            <w:top w:w="0" w:type="dxa"/>
            <w:left w:w="108" w:type="dxa"/>
            <w:bottom w:w="0" w:type="dxa"/>
            <w:right w:w="108" w:type="dxa"/>
          </w:tblCellMar>
        </w:tblPrEx>
        <w:trPr>
          <w:trHeight w:val="69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支出进度</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 w:val="12"/>
                <w:szCs w:val="12"/>
                <w:highlight w:val="none"/>
                <w:lang w:eastAsia="zh-CN"/>
              </w:rPr>
              <w:t>原因：活动半数以上多集中于下半年。措施：</w:t>
            </w:r>
            <w:bookmarkStart w:id="3" w:name="_GoBack"/>
            <w:bookmarkEnd w:id="3"/>
            <w:r>
              <w:rPr>
                <w:rFonts w:hint="eastAsia" w:ascii="仿宋_GB2312" w:hAnsi="宋体" w:eastAsia="仿宋_GB2312" w:cs="宋体"/>
                <w:kern w:val="0"/>
                <w:sz w:val="12"/>
                <w:szCs w:val="12"/>
                <w:highlight w:val="none"/>
                <w:lang w:eastAsia="zh-CN"/>
              </w:rPr>
              <w:t>保证按月足额支出。</w:t>
            </w:r>
          </w:p>
        </w:tc>
      </w:tr>
      <w:tr>
        <w:tblPrEx>
          <w:tblLayout w:type="fixed"/>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主题关注度</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30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活动参与人数</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仿宋_GB2312" w:eastAsia="仿宋_GB2312" w:cs="仿宋_GB2312"/>
                <w:kern w:val="0"/>
                <w:sz w:val="21"/>
                <w:szCs w:val="21"/>
                <w:highlight w:val="none"/>
                <w:lang w:val="en-US" w:eastAsia="zh-CN"/>
              </w:rPr>
              <w:t>640</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仿宋_GB2312" w:eastAsia="仿宋_GB2312" w:cs="仿宋_GB2312"/>
                <w:kern w:val="0"/>
                <w:sz w:val="21"/>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86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参与党员满意度</w:t>
            </w: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宋体"/>
                <w:kern w:val="0"/>
                <w:szCs w:val="21"/>
                <w:highlight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 w:val="12"/>
                <w:szCs w:val="12"/>
                <w:highlight w:val="none"/>
                <w:lang w:eastAsia="zh-CN"/>
              </w:rPr>
              <w:t>根据广大党员提出的要求，尽量将活动安排的多样化</w:t>
            </w:r>
            <w:r>
              <w:rPr>
                <w:rFonts w:hint="eastAsia" w:ascii="仿宋_GB2312" w:hAnsi="宋体" w:eastAsia="仿宋_GB2312" w:cs="宋体"/>
                <w:kern w:val="0"/>
                <w:szCs w:val="21"/>
                <w:highlight w:val="none"/>
                <w:lang w:eastAsia="zh-CN"/>
              </w:rPr>
              <w:t>。</w:t>
            </w:r>
          </w:p>
        </w:tc>
      </w:tr>
      <w:tr>
        <w:tblPrEx>
          <w:tblLayout w:type="fixed"/>
          <w:tblCellMar>
            <w:top w:w="0" w:type="dxa"/>
            <w:left w:w="108" w:type="dxa"/>
            <w:bottom w:w="0" w:type="dxa"/>
            <w:right w:w="108" w:type="dxa"/>
          </w:tblCellMar>
        </w:tblPrEx>
        <w:trPr>
          <w:trHeight w:val="477" w:hRule="exact"/>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85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2"/>
        <w:ind w:left="0" w:leftChars="0" w:firstLine="0" w:firstLineChars="0"/>
        <w:rPr>
          <w:rFonts w:hint="eastAsia"/>
          <w:lang w:val="en-US" w:eastAsia="zh-CN"/>
        </w:rPr>
      </w:pPr>
    </w:p>
    <w:p>
      <w:pPr>
        <w:pStyle w:val="3"/>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hint="eastAsia"/>
          <w:lang w:val="en-US" w:eastAsia="zh-CN"/>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tbl>
      <w:tblPr>
        <w:tblStyle w:val="8"/>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去世离休干部遗孀补贴</w:t>
            </w:r>
          </w:p>
        </w:tc>
      </w:tr>
      <w:tr>
        <w:tblPrEx>
          <w:tblLayout w:type="fixed"/>
          <w:tblCellMar>
            <w:top w:w="0" w:type="dxa"/>
            <w:left w:w="108" w:type="dxa"/>
            <w:bottom w:w="0" w:type="dxa"/>
            <w:right w:w="108" w:type="dxa"/>
          </w:tblCellMar>
        </w:tblPrEx>
        <w:trPr>
          <w:trHeight w:val="602" w:hRule="exact"/>
          <w:jc w:val="center"/>
        </w:trPr>
        <w:tc>
          <w:tcPr>
            <w:tcW w:w="1560"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lang w:eastAsia="zh-CN"/>
              </w:rPr>
              <w:t>北京市丰台区总工会</w:t>
            </w:r>
          </w:p>
        </w:tc>
        <w:tc>
          <w:tcPr>
            <w:tcW w:w="1127" w:type="dxa"/>
            <w:gridSpan w:val="2"/>
            <w:tcBorders>
              <w:top w:val="nil"/>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党建人事部</w:t>
            </w:r>
          </w:p>
        </w:tc>
      </w:tr>
      <w:tr>
        <w:tblPrEx>
          <w:tblLayout w:type="fixed"/>
          <w:tblCellMar>
            <w:top w:w="0" w:type="dxa"/>
            <w:left w:w="108" w:type="dxa"/>
            <w:bottom w:w="0" w:type="dxa"/>
            <w:right w:w="108" w:type="dxa"/>
          </w:tblCellMar>
        </w:tblPrEx>
        <w:trPr>
          <w:trHeight w:val="545"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122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根据丰台区委书记办公会议纪要【2002】38号的要求，为去世离休干部无工作配偶发放一次性生活补贴，每人每年2000元，春节前发放到位，全面贯彻落实了区委为离退休干部所办的相关实事。</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为去世离休干部无工作配偶发放一次性生活补贴2000元</w:t>
            </w:r>
            <w:r>
              <w:rPr>
                <w:rFonts w:hint="eastAsia" w:ascii="仿宋_GB2312" w:hAnsi="宋体" w:eastAsia="仿宋_GB2312" w:cs="宋体"/>
                <w:kern w:val="0"/>
                <w:szCs w:val="21"/>
                <w:highlight w:val="none"/>
                <w:lang w:eastAsia="zh-CN"/>
              </w:rPr>
              <w:t>，已完成</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Layout w:type="fixed"/>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补助个人（家庭）数量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补助覆盖率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补助对象合规率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5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补助发放进度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/1/1</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w:t>
            </w:r>
            <w:r>
              <w:rPr>
                <w:rFonts w:hint="eastAsia" w:ascii="仿宋_GB2312" w:hAnsi="宋体" w:eastAsia="仿宋_GB2312" w:cs="宋体"/>
                <w:kern w:val="0"/>
                <w:szCs w:val="21"/>
                <w:highlight w:val="none"/>
                <w:lang w:val="en-US" w:eastAsia="zh-CN"/>
              </w:rPr>
              <w:t>4</w:t>
            </w:r>
            <w:r>
              <w:rPr>
                <w:rFonts w:hint="eastAsia" w:ascii="仿宋_GB2312" w:hAnsi="宋体" w:eastAsia="仿宋_GB2312" w:cs="宋体"/>
                <w:kern w:val="0"/>
                <w:szCs w:val="21"/>
                <w:highlight w:val="none"/>
              </w:rPr>
              <w:t>/1/1</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5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补助人群生活改善情况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4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受益对象满意度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val="en-US" w:eastAsia="zh-CN"/>
              </w:rPr>
              <w:t>9</w:t>
            </w:r>
            <w:r>
              <w:rPr>
                <w:rFonts w:hint="eastAsia" w:ascii="仿宋_GB2312" w:hAnsi="宋体" w:eastAsia="仿宋_GB2312" w:cs="宋体"/>
                <w:color w:val="000000"/>
                <w:kern w:val="0"/>
                <w:szCs w:val="21"/>
                <w:highlight w:val="none"/>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spacing w:line="48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w:t>
      </w:r>
      <w:r>
        <w:rPr>
          <w:rFonts w:hint="eastAsia" w:ascii="仿宋_GB2312" w:hAnsi="宋体" w:eastAsia="仿宋_GB2312"/>
          <w:sz w:val="28"/>
          <w:szCs w:val="28"/>
          <w:lang w:val="en-US" w:eastAsia="zh-CN"/>
        </w:rPr>
        <w:t>2024</w:t>
      </w:r>
      <w:r>
        <w:rPr>
          <w:rFonts w:hint="eastAsia" w:ascii="仿宋_GB2312" w:hAnsi="宋体" w:eastAsia="仿宋_GB2312"/>
          <w:sz w:val="28"/>
          <w:szCs w:val="28"/>
        </w:rPr>
        <w:t>年度）</w:t>
      </w:r>
    </w:p>
    <w:p>
      <w:pPr>
        <w:spacing w:line="240" w:lineRule="exact"/>
        <w:rPr>
          <w:rFonts w:hint="eastAsia" w:ascii="仿宋_GB2312" w:hAnsi="宋体" w:eastAsia="仿宋_GB2312"/>
          <w:sz w:val="30"/>
          <w:szCs w:val="30"/>
        </w:rPr>
      </w:pPr>
    </w:p>
    <w:tbl>
      <w:tblPr>
        <w:tblStyle w:val="8"/>
        <w:tblW w:w="9038" w:type="dxa"/>
        <w:jc w:val="center"/>
        <w:tblInd w:w="0" w:type="dxa"/>
        <w:tblLayout w:type="fixed"/>
        <w:tblCellMar>
          <w:top w:w="0" w:type="dxa"/>
          <w:left w:w="108" w:type="dxa"/>
          <w:bottom w:w="0" w:type="dxa"/>
          <w:right w:w="108" w:type="dxa"/>
        </w:tblCellMar>
      </w:tblPr>
      <w:tblGrid>
        <w:gridCol w:w="585"/>
        <w:gridCol w:w="975"/>
        <w:gridCol w:w="1105"/>
        <w:gridCol w:w="727"/>
        <w:gridCol w:w="927"/>
        <w:gridCol w:w="200"/>
        <w:gridCol w:w="1260"/>
        <w:gridCol w:w="860"/>
        <w:gridCol w:w="139"/>
        <w:gridCol w:w="461"/>
        <w:gridCol w:w="243"/>
        <w:gridCol w:w="357"/>
        <w:gridCol w:w="489"/>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离休干部医疗统筹金</w:t>
            </w:r>
          </w:p>
        </w:tc>
      </w:tr>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2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北京市丰台区总工会</w:t>
            </w: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财务与资产管理部</w:t>
            </w:r>
          </w:p>
        </w:tc>
      </w:tr>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项目负责人</w:t>
            </w:r>
          </w:p>
        </w:tc>
        <w:tc>
          <w:tcPr>
            <w:tcW w:w="421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顾蕊</w:t>
            </w: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联系电话</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83802507</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宋体"/>
                <w:kern w:val="0"/>
                <w:szCs w:val="21"/>
                <w:lang w:val="en-US" w:eastAsia="zh-CN"/>
              </w:rPr>
            </w:pPr>
            <w:r>
              <w:rPr>
                <w:rFonts w:hint="eastAsia" w:ascii="宋体" w:hAnsi="宋体" w:cs="宋体"/>
                <w:i w:val="0"/>
                <w:color w:val="000000"/>
                <w:kern w:val="0"/>
                <w:sz w:val="22"/>
                <w:szCs w:val="22"/>
                <w:u w:val="none"/>
                <w:lang w:val="en-US" w:eastAsia="zh-CN" w:bidi="ar"/>
              </w:rPr>
              <w:t>9</w:t>
            </w: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w:t>
            </w: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rPr>
            </w:pP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26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9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1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25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1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根据北京市丰台区医疗保险中心的要求，缴纳区总工会</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名离休人员医疗保险费，确保他们能够按时报销医疗费用，解决离休干部后顾之忧</w:t>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3259"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eastAsia="zh-CN"/>
              </w:rPr>
              <w:t>按时足额</w:t>
            </w:r>
            <w:r>
              <w:rPr>
                <w:rFonts w:hint="eastAsia" w:ascii="仿宋_GB2312" w:hAnsi="宋体" w:eastAsia="仿宋_GB2312" w:cs="宋体"/>
                <w:kern w:val="0"/>
                <w:szCs w:val="21"/>
              </w:rPr>
              <w:t>缴纳</w:t>
            </w:r>
            <w:r>
              <w:rPr>
                <w:rFonts w:hint="eastAsia" w:ascii="仿宋_GB2312" w:hAnsi="宋体" w:eastAsia="仿宋_GB2312" w:cs="宋体"/>
                <w:kern w:val="0"/>
                <w:szCs w:val="21"/>
                <w:lang w:eastAsia="zh-CN"/>
              </w:rPr>
              <w:t>了</w:t>
            </w:r>
            <w:r>
              <w:rPr>
                <w:rFonts w:hint="eastAsia" w:ascii="仿宋_GB2312" w:hAnsi="宋体" w:eastAsia="仿宋_GB2312" w:cs="宋体"/>
                <w:kern w:val="0"/>
                <w:szCs w:val="21"/>
              </w:rPr>
              <w:t>区总工会</w:t>
            </w:r>
            <w:r>
              <w:rPr>
                <w:rFonts w:hint="eastAsia" w:ascii="仿宋_GB2312" w:hAnsi="宋体" w:eastAsia="仿宋_GB2312" w:cs="宋体"/>
                <w:kern w:val="0"/>
                <w:szCs w:val="21"/>
                <w:lang w:val="en-US" w:eastAsia="zh-CN"/>
              </w:rPr>
              <w:t>1</w:t>
            </w:r>
            <w:r>
              <w:rPr>
                <w:rFonts w:hint="eastAsia" w:ascii="仿宋_GB2312" w:hAnsi="宋体" w:eastAsia="仿宋_GB2312" w:cs="宋体"/>
                <w:kern w:val="0"/>
                <w:szCs w:val="21"/>
              </w:rPr>
              <w:t>名离休人员医疗保险费，</w:t>
            </w:r>
            <w:r>
              <w:rPr>
                <w:rFonts w:hint="eastAsia" w:ascii="仿宋_GB2312" w:hAnsi="宋体" w:eastAsia="仿宋_GB2312" w:cs="宋体"/>
                <w:kern w:val="0"/>
                <w:szCs w:val="21"/>
                <w:lang w:eastAsia="zh-CN"/>
              </w:rPr>
              <w:t>离休干部可以享受到医疗报销政策</w:t>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65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46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8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偏差原因分析及改进</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措施</w:t>
            </w:r>
          </w:p>
        </w:tc>
      </w:tr>
      <w:tr>
        <w:tblPrEx>
          <w:tblLayout w:type="fixed"/>
          <w:tblCellMar>
            <w:top w:w="0" w:type="dxa"/>
            <w:left w:w="108" w:type="dxa"/>
            <w:bottom w:w="0" w:type="dxa"/>
            <w:right w:w="108" w:type="dxa"/>
          </w:tblCellMar>
        </w:tblPrEx>
        <w:trPr>
          <w:trHeight w:val="9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654" w:type="dxa"/>
            <w:gridSpan w:val="2"/>
            <w:tcBorders>
              <w:top w:val="single" w:color="auto" w:sz="4" w:space="0"/>
              <w:left w:val="nil"/>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缴纳离休干部医疗统筹金</w:t>
            </w:r>
          </w:p>
        </w:tc>
        <w:tc>
          <w:tcPr>
            <w:tcW w:w="1460" w:type="dxa"/>
            <w:gridSpan w:val="2"/>
            <w:vMerge w:val="restart"/>
            <w:tcBorders>
              <w:top w:val="single" w:color="auto" w:sz="4" w:space="0"/>
              <w:left w:val="nil"/>
              <w:right w:val="single" w:color="auto" w:sz="4" w:space="0"/>
            </w:tcBorders>
            <w:vAlign w:val="center"/>
          </w:tcPr>
          <w:p>
            <w:pPr>
              <w:widowControl/>
              <w:spacing w:line="240" w:lineRule="exact"/>
              <w:jc w:val="lef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全员缴纳</w:t>
            </w:r>
          </w:p>
        </w:tc>
        <w:tc>
          <w:tcPr>
            <w:tcW w:w="860" w:type="dxa"/>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已全员缴纳</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2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时效指标</w:t>
            </w:r>
          </w:p>
        </w:tc>
        <w:tc>
          <w:tcPr>
            <w:tcW w:w="1654" w:type="dxa"/>
            <w:gridSpan w:val="2"/>
            <w:tcBorders>
              <w:top w:val="single" w:color="auto" w:sz="4" w:space="0"/>
              <w:left w:val="nil"/>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按时缴纳</w:t>
            </w:r>
            <w:r>
              <w:rPr>
                <w:rFonts w:hint="eastAsia" w:ascii="仿宋_GB2312" w:hAnsi="宋体" w:eastAsia="仿宋_GB2312" w:cs="宋体"/>
                <w:kern w:val="0"/>
                <w:szCs w:val="21"/>
                <w:lang w:eastAsia="zh-CN"/>
              </w:rPr>
              <w:t>医疗</w:t>
            </w:r>
            <w:r>
              <w:rPr>
                <w:rFonts w:hint="eastAsia" w:ascii="仿宋_GB2312" w:hAnsi="宋体" w:eastAsia="仿宋_GB2312" w:cs="宋体"/>
                <w:color w:val="000000"/>
                <w:kern w:val="0"/>
                <w:szCs w:val="21"/>
                <w:lang w:eastAsia="zh-CN"/>
              </w:rPr>
              <w:t>统筹金</w:t>
            </w:r>
          </w:p>
        </w:tc>
        <w:tc>
          <w:tcPr>
            <w:tcW w:w="1460" w:type="dxa"/>
            <w:gridSpan w:val="2"/>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按时逐月缴纳</w:t>
            </w:r>
          </w:p>
        </w:tc>
        <w:tc>
          <w:tcPr>
            <w:tcW w:w="860" w:type="dxa"/>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已按时逐月缴纳</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30</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30</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成本指标</w:t>
            </w:r>
          </w:p>
        </w:tc>
        <w:tc>
          <w:tcPr>
            <w:tcW w:w="1654"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仿宋_GB2312" w:eastAsia="仿宋_GB2312" w:cs="仿宋_GB2312"/>
                <w:kern w:val="0"/>
                <w:sz w:val="21"/>
                <w:szCs w:val="21"/>
              </w:rPr>
              <w:t>项目</w:t>
            </w:r>
            <w:r>
              <w:rPr>
                <w:rFonts w:hint="eastAsia" w:ascii="仿宋_GB2312" w:hAnsi="仿宋_GB2312" w:eastAsia="仿宋_GB2312" w:cs="仿宋_GB2312"/>
                <w:sz w:val="21"/>
                <w:szCs w:val="21"/>
              </w:rPr>
              <w:t>预算控制数</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万元</w:t>
            </w:r>
          </w:p>
        </w:tc>
        <w:tc>
          <w:tcPr>
            <w:tcW w:w="1460" w:type="dxa"/>
            <w:gridSpan w:val="2"/>
            <w:vMerge w:val="restart"/>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预算执行不超预算控制数</w:t>
            </w:r>
          </w:p>
        </w:tc>
        <w:tc>
          <w:tcPr>
            <w:tcW w:w="860" w:type="dxa"/>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未超预算控制数</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20</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9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r>
              <w:rPr>
                <w:rFonts w:hint="eastAsia" w:ascii="仿宋_GB2312" w:hAnsi="宋体" w:eastAsia="仿宋_GB2312" w:cs="宋体"/>
                <w:kern w:val="0"/>
                <w:szCs w:val="21"/>
                <w:lang w:eastAsia="zh-CN"/>
              </w:rPr>
              <w:t>指</w:t>
            </w:r>
            <w:r>
              <w:rPr>
                <w:rFonts w:hint="eastAsia" w:ascii="仿宋_GB2312" w:hAnsi="宋体" w:eastAsia="仿宋_GB2312" w:cs="宋体"/>
                <w:kern w:val="0"/>
                <w:szCs w:val="21"/>
              </w:rPr>
              <w:t>标</w:t>
            </w:r>
          </w:p>
        </w:tc>
        <w:tc>
          <w:tcPr>
            <w:tcW w:w="1654" w:type="dxa"/>
            <w:gridSpan w:val="2"/>
            <w:tcBorders>
              <w:top w:val="single" w:color="auto" w:sz="4" w:space="0"/>
              <w:left w:val="nil"/>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离休干部对医疗费用报销满意程度</w:t>
            </w:r>
          </w:p>
        </w:tc>
        <w:tc>
          <w:tcPr>
            <w:tcW w:w="1460" w:type="dxa"/>
            <w:gridSpan w:val="2"/>
            <w:tcBorders>
              <w:top w:val="single" w:color="auto" w:sz="4" w:space="0"/>
              <w:left w:val="nil"/>
              <w:right w:val="single" w:color="auto" w:sz="4" w:space="0"/>
            </w:tcBorders>
            <w:vAlign w:val="center"/>
          </w:tcPr>
          <w:p>
            <w:pPr>
              <w:widowControl/>
              <w:spacing w:line="240" w:lineRule="exact"/>
              <w:jc w:val="left"/>
              <w:rPr>
                <w:rFonts w:hint="default" w:ascii="仿宋_GB2312" w:hAnsi="宋体" w:eastAsia="仿宋_GB2312" w:cs="宋体"/>
                <w:kern w:val="0"/>
                <w:sz w:val="18"/>
                <w:szCs w:val="18"/>
                <w:lang w:val="en-US" w:eastAsia="zh-CN"/>
              </w:rPr>
            </w:pPr>
            <w:r>
              <w:rPr>
                <w:rFonts w:hint="eastAsia" w:ascii="仿宋_GB2312" w:hAnsi="宋体" w:eastAsia="仿宋_GB2312" w:cs="宋体"/>
                <w:color w:val="000000"/>
                <w:kern w:val="0"/>
                <w:sz w:val="18"/>
                <w:szCs w:val="18"/>
                <w:lang w:eastAsia="zh-CN"/>
              </w:rPr>
              <w:t>离休干部对医疗费用报销及时性满意</w:t>
            </w:r>
          </w:p>
        </w:tc>
        <w:tc>
          <w:tcPr>
            <w:tcW w:w="860" w:type="dxa"/>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lang w:val="en-US" w:eastAsia="zh-CN"/>
              </w:rPr>
              <w:t>表示满意</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600" w:type="dxa"/>
            <w:gridSpan w:val="2"/>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20</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63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c>
          <w:tcPr>
            <w:tcW w:w="11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bl>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spacing w:line="480" w:lineRule="exact"/>
        <w:ind w:firstLine="2520" w:firstLineChars="700"/>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pStyle w:val="4"/>
        <w:rPr>
          <w:rFonts w:hint="eastAsia"/>
          <w:lang w:val="en-US" w:eastAsia="zh-CN"/>
        </w:rPr>
      </w:pPr>
    </w:p>
    <w:tbl>
      <w:tblPr>
        <w:tblStyle w:val="8"/>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lang w:val="en-US" w:eastAsia="zh-CN"/>
              </w:rPr>
              <w:t>劳动争议调解联动机制案件补贴资金</w:t>
            </w:r>
          </w:p>
          <w:p>
            <w:pPr>
              <w:keepNext w:val="0"/>
              <w:keepLines w:val="0"/>
              <w:widowControl/>
              <w:suppressLineNumbers w:val="0"/>
              <w:jc w:val="left"/>
              <w:rPr>
                <w:sz w:val="20"/>
                <w:szCs w:val="22"/>
              </w:rPr>
            </w:pPr>
          </w:p>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267" w:hRule="exact"/>
          <w:jc w:val="center"/>
        </w:trPr>
        <w:tc>
          <w:tcPr>
            <w:tcW w:w="1560"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北京市丰台区总工会</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权益工作部</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项目资金</w:t>
            </w:r>
            <w:r>
              <w:rPr>
                <w:rFonts w:hint="eastAsia" w:ascii="仿宋_GB2312" w:hAnsi="宋体" w:eastAsia="仿宋_GB2312" w:cs="宋体"/>
                <w:kern w:val="0"/>
                <w:sz w:val="20"/>
                <w:szCs w:val="20"/>
                <w:highlight w:val="none"/>
              </w:rPr>
              <w:br w:type="textWrapping"/>
            </w:r>
            <w:r>
              <w:rPr>
                <w:rFonts w:hint="eastAsia" w:ascii="仿宋_GB2312" w:hAnsi="宋体" w:eastAsia="仿宋_GB2312" w:cs="宋体"/>
                <w:kern w:val="0"/>
                <w:sz w:val="20"/>
                <w:szCs w:val="20"/>
                <w:highlight w:val="none"/>
              </w:rPr>
              <w:t>（万元）</w:t>
            </w:r>
          </w:p>
        </w:tc>
        <w:tc>
          <w:tcPr>
            <w:tcW w:w="18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年初预</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算数</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全年预</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算数</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全年</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执行数</w:t>
            </w:r>
          </w:p>
        </w:tc>
        <w:tc>
          <w:tcPr>
            <w:tcW w:w="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分值</w:t>
            </w:r>
          </w:p>
        </w:tc>
        <w:tc>
          <w:tcPr>
            <w:tcW w:w="8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执行率</w:t>
            </w: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得分</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8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年度资金总额</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10</w:t>
            </w:r>
          </w:p>
        </w:tc>
        <w:tc>
          <w:tcPr>
            <w:tcW w:w="8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100%</w:t>
            </w: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r>
      <w:tr>
        <w:tblPrEx>
          <w:tblLayout w:type="fixed"/>
          <w:tblCellMar>
            <w:top w:w="0" w:type="dxa"/>
            <w:left w:w="108" w:type="dxa"/>
            <w:bottom w:w="0" w:type="dxa"/>
            <w:right w:w="108" w:type="dxa"/>
          </w:tblCellMar>
        </w:tblPrEx>
        <w:trPr>
          <w:trHeight w:val="54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8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其中：当年财政</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拨款</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c>
          <w:tcPr>
            <w:tcW w:w="8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r>
      <w:tr>
        <w:tblPrEx>
          <w:tblLayout w:type="fixed"/>
          <w:tblCellMar>
            <w:top w:w="0" w:type="dxa"/>
            <w:left w:w="108" w:type="dxa"/>
            <w:bottom w:w="0" w:type="dxa"/>
            <w:right w:w="108" w:type="dxa"/>
          </w:tblCellMar>
        </w:tblPrEx>
        <w:trPr>
          <w:trHeight w:val="3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8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 xml:space="preserve">    上年结转资金</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c>
          <w:tcPr>
            <w:tcW w:w="8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8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 xml:space="preserve">  其他资金</w:t>
            </w:r>
          </w:p>
        </w:tc>
        <w:tc>
          <w:tcPr>
            <w:tcW w:w="112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32"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0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c>
          <w:tcPr>
            <w:tcW w:w="84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w:t>
            </w:r>
          </w:p>
        </w:tc>
      </w:tr>
      <w:tr>
        <w:tblPrEx>
          <w:tblLayout w:type="fixed"/>
          <w:tblCellMar>
            <w:top w:w="0" w:type="dxa"/>
            <w:left w:w="108" w:type="dxa"/>
            <w:bottom w:w="0" w:type="dxa"/>
            <w:right w:w="108" w:type="dxa"/>
          </w:tblCellMar>
        </w:tblPrEx>
        <w:trPr>
          <w:trHeight w:val="394"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年度总体目标</w:t>
            </w:r>
          </w:p>
        </w:tc>
        <w:tc>
          <w:tcPr>
            <w:tcW w:w="5066" w:type="dxa"/>
            <w:gridSpan w:val="6"/>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预期目标</w:t>
            </w:r>
          </w:p>
        </w:tc>
        <w:tc>
          <w:tcPr>
            <w:tcW w:w="338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实际完成情况</w:t>
            </w:r>
          </w:p>
        </w:tc>
      </w:tr>
      <w:tr>
        <w:tblPrEx>
          <w:tblLayout w:type="fixed"/>
          <w:tblCellMar>
            <w:top w:w="0" w:type="dxa"/>
            <w:left w:w="108" w:type="dxa"/>
            <w:bottom w:w="0" w:type="dxa"/>
            <w:right w:w="108" w:type="dxa"/>
          </w:tblCellMar>
        </w:tblPrEx>
        <w:trPr>
          <w:trHeight w:val="188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5066" w:type="dxa"/>
            <w:gridSpan w:val="6"/>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以建设和谐劳动关系、构建和谐社会为根本目标。发挥劳动争议调解六方联动</w:t>
            </w:r>
            <w:r>
              <w:rPr>
                <w:rFonts w:hint="default" w:ascii="仿宋_GB2312" w:hAnsi="宋体" w:eastAsia="仿宋_GB2312" w:cs="宋体"/>
                <w:kern w:val="0"/>
                <w:sz w:val="20"/>
                <w:szCs w:val="20"/>
                <w:highlight w:val="none"/>
                <w:lang w:val="en-US" w:eastAsia="zh-CN"/>
              </w:rPr>
              <w:t>+1工作机制，通过有偿聘用职业律师团队专业知识，开展我区劳动争议调解，职工法律援助。依法维护职工和企业双方的合法权益，尽快从简解决劳动纠纷，维护社会和谐稳定。</w:t>
            </w:r>
          </w:p>
          <w:p>
            <w:pPr>
              <w:widowControl/>
              <w:spacing w:line="240" w:lineRule="exact"/>
              <w:jc w:val="center"/>
              <w:rPr>
                <w:rFonts w:hint="eastAsia" w:ascii="仿宋_GB2312" w:hAnsi="宋体" w:eastAsia="仿宋_GB2312" w:cs="宋体"/>
                <w:kern w:val="0"/>
                <w:sz w:val="20"/>
                <w:szCs w:val="20"/>
                <w:highlight w:val="none"/>
              </w:rPr>
            </w:pPr>
          </w:p>
        </w:tc>
        <w:tc>
          <w:tcPr>
            <w:tcW w:w="3387" w:type="dxa"/>
            <w:gridSpan w:val="7"/>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sz w:val="18"/>
                <w:szCs w:val="21"/>
              </w:rPr>
            </w:pPr>
            <w:r>
              <w:rPr>
                <w:rFonts w:hint="eastAsia" w:ascii="仿宋_GB2312" w:hAnsi="宋体" w:eastAsia="仿宋_GB2312" w:cs="宋体"/>
                <w:kern w:val="0"/>
                <w:sz w:val="18"/>
                <w:szCs w:val="18"/>
                <w:highlight w:val="none"/>
                <w:lang w:val="en-US" w:eastAsia="zh-CN"/>
              </w:rPr>
              <w:t>年度总体目标完成情况综述：</w:t>
            </w:r>
            <w:r>
              <w:rPr>
                <w:rFonts w:hint="default" w:ascii="仿宋_GB2312" w:hAnsi="宋体" w:eastAsia="仿宋_GB2312" w:cs="宋体"/>
                <w:kern w:val="0"/>
                <w:sz w:val="18"/>
                <w:szCs w:val="18"/>
                <w:highlight w:val="none"/>
                <w:lang w:val="en-US" w:eastAsia="zh-CN"/>
              </w:rPr>
              <w:t>1.通过聘请律师团队专业技能，经过劳动争议调解员耐心、细心</w:t>
            </w:r>
            <w:r>
              <w:rPr>
                <w:rFonts w:hint="eastAsia" w:ascii="仿宋_GB2312" w:hAnsi="宋体" w:eastAsia="仿宋_GB2312" w:cs="宋体"/>
                <w:kern w:val="0"/>
                <w:sz w:val="18"/>
                <w:szCs w:val="18"/>
                <w:highlight w:val="none"/>
                <w:lang w:val="en-US" w:eastAsia="zh-CN"/>
              </w:rPr>
              <w:t>、</w:t>
            </w:r>
            <w:r>
              <w:rPr>
                <w:rFonts w:hint="default" w:ascii="仿宋_GB2312" w:hAnsi="宋体" w:eastAsia="仿宋_GB2312" w:cs="宋体"/>
                <w:kern w:val="0"/>
                <w:sz w:val="18"/>
                <w:szCs w:val="18"/>
                <w:highlight w:val="none"/>
                <w:lang w:val="en-US" w:eastAsia="zh-CN"/>
              </w:rPr>
              <w:t>暖心的不懈努力，大幅度缩短我区劳动仲裁委，立案职工劳动纠纷解决等候时间，为企业和职工解决劳动争议提供了方便，促进了社会稳定和谐发展。</w:t>
            </w:r>
          </w:p>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绩</w:t>
            </w:r>
            <w:r>
              <w:rPr>
                <w:rFonts w:hint="eastAsia" w:ascii="仿宋_GB2312" w:hAnsi="宋体" w:eastAsia="仿宋_GB2312" w:cs="宋体"/>
                <w:kern w:val="0"/>
                <w:sz w:val="20"/>
                <w:szCs w:val="20"/>
                <w:highlight w:val="none"/>
              </w:rPr>
              <w:br w:type="textWrapping"/>
            </w:r>
            <w:r>
              <w:rPr>
                <w:rFonts w:hint="eastAsia" w:ascii="仿宋_GB2312" w:hAnsi="宋体" w:eastAsia="仿宋_GB2312" w:cs="宋体"/>
                <w:kern w:val="0"/>
                <w:sz w:val="20"/>
                <w:szCs w:val="20"/>
                <w:highlight w:val="none"/>
              </w:rPr>
              <w:t>效</w:t>
            </w:r>
            <w:r>
              <w:rPr>
                <w:rFonts w:hint="eastAsia" w:ascii="仿宋_GB2312" w:hAnsi="宋体" w:eastAsia="仿宋_GB2312" w:cs="宋体"/>
                <w:kern w:val="0"/>
                <w:sz w:val="20"/>
                <w:szCs w:val="20"/>
                <w:highlight w:val="none"/>
              </w:rPr>
              <w:br w:type="textWrapping"/>
            </w:r>
            <w:r>
              <w:rPr>
                <w:rFonts w:hint="eastAsia" w:ascii="仿宋_GB2312" w:hAnsi="宋体" w:eastAsia="仿宋_GB2312" w:cs="宋体"/>
                <w:kern w:val="0"/>
                <w:sz w:val="20"/>
                <w:szCs w:val="20"/>
                <w:highlight w:val="none"/>
              </w:rPr>
              <w:t>指</w:t>
            </w:r>
            <w:r>
              <w:rPr>
                <w:rFonts w:hint="eastAsia" w:ascii="仿宋_GB2312" w:hAnsi="宋体" w:eastAsia="仿宋_GB2312" w:cs="宋体"/>
                <w:kern w:val="0"/>
                <w:sz w:val="20"/>
                <w:szCs w:val="20"/>
                <w:highlight w:val="none"/>
              </w:rPr>
              <w:br w:type="textWrapping"/>
            </w:r>
            <w:r>
              <w:rPr>
                <w:rFonts w:hint="eastAsia" w:ascii="仿宋_GB2312" w:hAnsi="宋体" w:eastAsia="仿宋_GB2312" w:cs="宋体"/>
                <w:kern w:val="0"/>
                <w:sz w:val="20"/>
                <w:szCs w:val="20"/>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年度</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实际</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偏差原因分析及改进</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措施</w:t>
            </w:r>
          </w:p>
        </w:tc>
      </w:tr>
      <w:tr>
        <w:tblPrEx>
          <w:tblLayout w:type="fixed"/>
          <w:tblCellMar>
            <w:top w:w="0" w:type="dxa"/>
            <w:left w:w="108" w:type="dxa"/>
            <w:bottom w:w="0" w:type="dxa"/>
            <w:right w:w="108" w:type="dxa"/>
          </w:tblCellMar>
        </w:tblPrEx>
        <w:trPr>
          <w:trHeight w:val="928"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20"/>
                <w:szCs w:val="20"/>
                <w:highlight w:val="none"/>
                <w:lang w:eastAsia="zh-CN"/>
              </w:rPr>
            </w:pPr>
            <w:r>
              <w:rPr>
                <w:rFonts w:hint="eastAsia" w:ascii="仿宋_GB2312" w:hAnsi="宋体" w:eastAsia="仿宋_GB2312" w:cs="宋体"/>
                <w:color w:val="000000"/>
                <w:kern w:val="0"/>
                <w:sz w:val="20"/>
                <w:szCs w:val="20"/>
                <w:highlight w:val="none"/>
                <w:lang w:eastAsia="zh-CN"/>
              </w:rPr>
              <w:t>调解成功劳动争议案件数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eastAsia="zh-CN"/>
              </w:rPr>
              <w:t>调解成功</w:t>
            </w:r>
            <w:r>
              <w:rPr>
                <w:rFonts w:hint="eastAsia" w:ascii="仿宋_GB2312" w:hAnsi="宋体" w:eastAsia="仿宋_GB2312" w:cs="宋体"/>
                <w:kern w:val="0"/>
                <w:sz w:val="20"/>
                <w:szCs w:val="20"/>
                <w:highlight w:val="none"/>
                <w:lang w:val="en-US" w:eastAsia="zh"/>
              </w:rPr>
              <w:t>200</w:t>
            </w:r>
            <w:r>
              <w:rPr>
                <w:rFonts w:hint="eastAsia" w:ascii="仿宋_GB2312" w:hAnsi="宋体" w:eastAsia="仿宋_GB2312" w:cs="宋体"/>
                <w:kern w:val="0"/>
                <w:sz w:val="20"/>
                <w:szCs w:val="20"/>
                <w:highlight w:val="none"/>
                <w:lang w:val="en-US" w:eastAsia="zh-CN"/>
              </w:rPr>
              <w:t>件左右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eastAsia="zh-CN"/>
              </w:rPr>
              <w:t>调解成功</w:t>
            </w:r>
            <w:r>
              <w:rPr>
                <w:rFonts w:hint="eastAsia" w:ascii="仿宋_GB2312" w:hAnsi="宋体" w:eastAsia="仿宋_GB2312" w:cs="宋体"/>
                <w:kern w:val="0"/>
                <w:sz w:val="20"/>
                <w:szCs w:val="20"/>
                <w:highlight w:val="none"/>
                <w:lang w:val="en-US" w:eastAsia="zh"/>
              </w:rPr>
              <w:t>318</w:t>
            </w:r>
            <w:r>
              <w:rPr>
                <w:rFonts w:hint="eastAsia" w:ascii="仿宋_GB2312" w:hAnsi="宋体" w:eastAsia="仿宋_GB2312" w:cs="宋体"/>
                <w:kern w:val="0"/>
                <w:sz w:val="20"/>
                <w:szCs w:val="20"/>
                <w:highlight w:val="none"/>
                <w:lang w:val="en-US" w:eastAsia="zh-CN"/>
              </w:rPr>
              <w:t>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1311"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质量指标</w:t>
            </w:r>
          </w:p>
        </w:tc>
        <w:tc>
          <w:tcPr>
            <w:tcW w:w="213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sz w:val="20"/>
                <w:szCs w:val="22"/>
              </w:rPr>
            </w:pPr>
            <w:r>
              <w:rPr>
                <w:rFonts w:hint="eastAsia" w:ascii="仿宋_GB2312" w:hAnsi="宋体" w:eastAsia="仿宋_GB2312" w:cs="宋体"/>
                <w:kern w:val="0"/>
                <w:sz w:val="20"/>
                <w:szCs w:val="20"/>
                <w:highlight w:val="none"/>
                <w:lang w:val="en-US" w:eastAsia="zh-CN"/>
              </w:rPr>
              <w:t>调解员按照调解流程。所调解成功案件符合国家法律依据。</w:t>
            </w:r>
          </w:p>
          <w:p>
            <w:pPr>
              <w:widowControl/>
              <w:spacing w:line="240" w:lineRule="exact"/>
              <w:jc w:val="center"/>
              <w:rPr>
                <w:rFonts w:hint="eastAsia" w:ascii="仿宋_GB2312" w:hAnsi="宋体" w:eastAsia="仿宋_GB2312" w:cs="宋体"/>
                <w:color w:val="000000"/>
                <w:kern w:val="0"/>
                <w:sz w:val="20"/>
                <w:szCs w:val="20"/>
                <w:highlight w:val="none"/>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无申请上诉、复议案件</w:t>
            </w:r>
          </w:p>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p>
        </w:tc>
        <w:tc>
          <w:tcPr>
            <w:tcW w:w="84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无申请上诉、复议案件</w:t>
            </w:r>
          </w:p>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615"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时效指标</w:t>
            </w:r>
          </w:p>
        </w:tc>
        <w:tc>
          <w:tcPr>
            <w:tcW w:w="2137"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按季度支付补贴经费</w:t>
            </w:r>
          </w:p>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p>
        </w:tc>
        <w:tc>
          <w:tcPr>
            <w:tcW w:w="84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eastAsia"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按季度完成</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按时完成拨付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725"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20"/>
                <w:szCs w:val="20"/>
                <w:highlight w:val="none"/>
                <w:lang w:eastAsia="zh-CN"/>
              </w:rPr>
            </w:pPr>
            <w:r>
              <w:rPr>
                <w:rFonts w:hint="eastAsia" w:ascii="仿宋_GB2312" w:hAnsi="宋体" w:eastAsia="仿宋_GB2312" w:cs="宋体"/>
                <w:color w:val="000000"/>
                <w:kern w:val="0"/>
                <w:sz w:val="20"/>
                <w:szCs w:val="20"/>
                <w:highlight w:val="none"/>
                <w:lang w:eastAsia="zh-CN"/>
              </w:rPr>
              <w:t>按照预算批复金额支出</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eastAsia="zh-CN"/>
              </w:rPr>
              <w:t>完成率</w:t>
            </w:r>
            <w:r>
              <w:rPr>
                <w:rFonts w:hint="eastAsia" w:ascii="仿宋_GB2312" w:hAnsi="宋体" w:eastAsia="仿宋_GB2312" w:cs="宋体"/>
                <w:kern w:val="0"/>
                <w:sz w:val="20"/>
                <w:szCs w:val="20"/>
                <w:highlight w:val="none"/>
                <w:lang w:val="en-US" w:eastAsia="zh-CN"/>
              </w:rPr>
              <w:t>95%以上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资金全部支出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1203"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经济效益</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lang w:val="en-US" w:eastAsia="zh-CN"/>
              </w:rPr>
              <w:t>挽回经济损失、得到补偿赔偿</w:t>
            </w:r>
          </w:p>
          <w:p>
            <w:pPr>
              <w:widowControl/>
              <w:spacing w:line="240" w:lineRule="exact"/>
              <w:jc w:val="center"/>
              <w:rPr>
                <w:rFonts w:hint="eastAsia" w:ascii="仿宋_GB2312" w:hAnsi="宋体" w:eastAsia="仿宋_GB2312" w:cs="宋体"/>
                <w:kern w:val="0"/>
                <w:sz w:val="20"/>
                <w:szCs w:val="20"/>
                <w:highlight w:val="none"/>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挽回经济损失</w:t>
            </w:r>
            <w:r>
              <w:rPr>
                <w:rFonts w:hint="eastAsia" w:ascii="仿宋_GB2312" w:hAnsi="宋体" w:eastAsia="仿宋_GB2312" w:cs="宋体"/>
                <w:kern w:val="0"/>
                <w:sz w:val="20"/>
                <w:szCs w:val="20"/>
                <w:highlight w:val="none"/>
                <w:lang w:val="en-US" w:eastAsia="zh"/>
              </w:rPr>
              <w:t>19431964.82</w:t>
            </w:r>
            <w:r>
              <w:rPr>
                <w:rFonts w:hint="default" w:ascii="仿宋_GB2312" w:hAnsi="宋体" w:eastAsia="仿宋_GB2312" w:cs="宋体"/>
                <w:kern w:val="0"/>
                <w:sz w:val="20"/>
                <w:szCs w:val="20"/>
                <w:highlight w:val="none"/>
                <w:lang w:val="en-US" w:eastAsia="zh-CN"/>
              </w:rPr>
              <w:t>元</w:t>
            </w:r>
          </w:p>
          <w:p>
            <w:pPr>
              <w:widowControl/>
              <w:spacing w:line="240" w:lineRule="exact"/>
              <w:jc w:val="center"/>
              <w:rPr>
                <w:rFonts w:hint="eastAsia" w:ascii="仿宋_GB2312" w:hAnsi="宋体" w:eastAsia="仿宋_GB2312" w:cs="宋体"/>
                <w:kern w:val="0"/>
                <w:sz w:val="20"/>
                <w:szCs w:val="20"/>
                <w:highlight w:val="none"/>
                <w:lang w:eastAsia="zh-CN"/>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823" w:hRule="exact"/>
          <w:jc w:val="center"/>
        </w:trPr>
        <w:tc>
          <w:tcPr>
            <w:tcW w:w="58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社会效益</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lang w:val="en-US" w:eastAsia="zh-CN"/>
              </w:rPr>
              <w:t>依法维护职工权益、促进劳动关系和谐稳定、促进社会稳定</w:t>
            </w:r>
          </w:p>
          <w:p>
            <w:pPr>
              <w:widowControl/>
              <w:spacing w:line="240" w:lineRule="exact"/>
              <w:jc w:val="center"/>
              <w:rPr>
                <w:rFonts w:hint="eastAsia" w:ascii="仿宋_GB2312" w:hAnsi="宋体" w:eastAsia="仿宋_GB2312" w:cs="宋体"/>
                <w:kern w:val="0"/>
                <w:sz w:val="20"/>
                <w:szCs w:val="20"/>
                <w:highlight w:val="none"/>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达到预期目标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20"/>
                <w:szCs w:val="20"/>
                <w:highlight w:val="none"/>
                <w:lang w:eastAsia="zh-CN"/>
              </w:rPr>
              <w:t>达到预期目的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lang w:eastAsia="zh-CN"/>
              </w:rPr>
            </w:pPr>
            <w:r>
              <w:rPr>
                <w:rFonts w:hint="eastAsia" w:ascii="仿宋_GB2312" w:hAnsi="宋体" w:eastAsia="仿宋_GB2312" w:cs="宋体"/>
                <w:kern w:val="0"/>
                <w:sz w:val="13"/>
                <w:szCs w:val="13"/>
                <w:highlight w:val="none"/>
                <w:lang w:eastAsia="zh-CN"/>
              </w:rPr>
              <w:t>提高调解效率，争取为更多职工提供高效法律服务。</w:t>
            </w:r>
          </w:p>
        </w:tc>
      </w:tr>
      <w:tr>
        <w:tblPrEx>
          <w:tblLayout w:type="fixed"/>
          <w:tblCellMar>
            <w:top w:w="0" w:type="dxa"/>
            <w:left w:w="108" w:type="dxa"/>
            <w:bottom w:w="0" w:type="dxa"/>
            <w:right w:w="108" w:type="dxa"/>
          </w:tblCellMar>
        </w:tblPrEx>
        <w:trPr>
          <w:trHeight w:val="833" w:hRule="exact"/>
          <w:jc w:val="center"/>
        </w:trPr>
        <w:tc>
          <w:tcPr>
            <w:tcW w:w="58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满意度</w:t>
            </w:r>
          </w:p>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服务对象满意度</w:t>
            </w:r>
            <w:r>
              <w:rPr>
                <w:rFonts w:hint="eastAsia" w:ascii="仿宋_GB2312" w:hAnsi="宋体" w:eastAsia="仿宋_GB2312" w:cs="宋体"/>
                <w:kern w:val="0"/>
                <w:sz w:val="20"/>
                <w:szCs w:val="20"/>
                <w:highlight w:val="none"/>
                <w:lang w:eastAsia="zh-CN"/>
              </w:rPr>
              <w:t>指</w:t>
            </w:r>
            <w:r>
              <w:rPr>
                <w:rFonts w:hint="eastAsia" w:ascii="仿宋_GB2312" w:hAnsi="宋体" w:eastAsia="仿宋_GB2312" w:cs="宋体"/>
                <w:kern w:val="0"/>
                <w:sz w:val="20"/>
                <w:szCs w:val="20"/>
                <w:highlight w:val="none"/>
              </w:rPr>
              <w:t>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lang w:val="en-US" w:eastAsia="zh-CN"/>
              </w:rPr>
              <w:t>劳动争议调解双方对调解结果满意</w:t>
            </w:r>
          </w:p>
          <w:p>
            <w:pPr>
              <w:widowControl/>
              <w:spacing w:line="240" w:lineRule="exact"/>
              <w:jc w:val="center"/>
              <w:rPr>
                <w:rFonts w:hint="eastAsia" w:ascii="仿宋_GB2312" w:hAnsi="宋体" w:eastAsia="仿宋_GB2312" w:cs="宋体"/>
                <w:kern w:val="0"/>
                <w:sz w:val="20"/>
                <w:szCs w:val="20"/>
                <w:highlight w:val="none"/>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eastAsia="zh-CN"/>
              </w:rPr>
              <w:t>满意度达到</w:t>
            </w:r>
            <w:r>
              <w:rPr>
                <w:rFonts w:hint="eastAsia" w:ascii="仿宋_GB2312" w:hAnsi="宋体" w:eastAsia="仿宋_GB2312" w:cs="宋体"/>
                <w:kern w:val="0"/>
                <w:sz w:val="20"/>
                <w:szCs w:val="20"/>
                <w:highlight w:val="none"/>
                <w:lang w:val="en-US" w:eastAsia="zh-CN"/>
              </w:rPr>
              <w:t>98%</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eastAsia="zh-CN"/>
              </w:rPr>
              <w:t>好评率达</w:t>
            </w:r>
            <w:r>
              <w:rPr>
                <w:rFonts w:hint="eastAsia" w:ascii="仿宋_GB2312" w:hAnsi="宋体" w:eastAsia="仿宋_GB2312" w:cs="宋体"/>
                <w:kern w:val="0"/>
                <w:sz w:val="20"/>
                <w:szCs w:val="20"/>
                <w:highlight w:val="none"/>
                <w:lang w:val="en-US" w:eastAsia="zh-CN"/>
              </w:rPr>
              <w:t>98%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0"/>
                <w:szCs w:val="20"/>
                <w:highlight w:val="none"/>
                <w:lang w:val="en-US" w:eastAsia="zh-CN"/>
              </w:rPr>
            </w:pPr>
            <w:r>
              <w:rPr>
                <w:rFonts w:hint="eastAsia" w:ascii="仿宋_GB2312" w:hAnsi="宋体" w:eastAsia="仿宋_GB2312" w:cs="宋体"/>
                <w:kern w:val="0"/>
                <w:sz w:val="20"/>
                <w:szCs w:val="20"/>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89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0"/>
                <w:szCs w:val="20"/>
                <w:highlight w:val="none"/>
              </w:rPr>
            </w:pPr>
          </w:p>
        </w:tc>
      </w:tr>
    </w:tbl>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eastAsia="方正小标宋简体"/>
          <w:sz w:val="36"/>
          <w:szCs w:val="36"/>
          <w:highlight w:val="none"/>
          <w:lang w:val="en-US" w:eastAsia="zh-CN"/>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pStyle w:val="4"/>
        <w:rPr>
          <w:rFonts w:hint="eastAsia"/>
          <w:lang w:val="en-US" w:eastAsia="zh-CN"/>
        </w:rPr>
      </w:pPr>
    </w:p>
    <w:p>
      <w:pPr>
        <w:pStyle w:val="4"/>
        <w:rPr>
          <w:rFonts w:hint="eastAsia"/>
          <w:lang w:val="en-US" w:eastAsia="zh-CN"/>
        </w:rPr>
      </w:pPr>
    </w:p>
    <w:tbl>
      <w:tblPr>
        <w:tblStyle w:val="8"/>
        <w:tblW w:w="9487" w:type="dxa"/>
        <w:jc w:val="center"/>
        <w:tblInd w:w="0" w:type="dxa"/>
        <w:tblLayout w:type="fixed"/>
        <w:tblCellMar>
          <w:top w:w="0" w:type="dxa"/>
          <w:left w:w="108" w:type="dxa"/>
          <w:bottom w:w="0" w:type="dxa"/>
          <w:right w:w="108" w:type="dxa"/>
        </w:tblCellMar>
      </w:tblPr>
      <w:tblGrid>
        <w:gridCol w:w="552"/>
        <w:gridCol w:w="919"/>
        <w:gridCol w:w="1042"/>
        <w:gridCol w:w="685"/>
        <w:gridCol w:w="1063"/>
        <w:gridCol w:w="153"/>
        <w:gridCol w:w="1200"/>
        <w:gridCol w:w="1110"/>
        <w:gridCol w:w="198"/>
        <w:gridCol w:w="357"/>
        <w:gridCol w:w="267"/>
        <w:gridCol w:w="468"/>
        <w:gridCol w:w="1473"/>
      </w:tblGrid>
      <w:tr>
        <w:tblPrEx>
          <w:tblLayout w:type="fixed"/>
          <w:tblCellMar>
            <w:top w:w="0" w:type="dxa"/>
            <w:left w:w="108" w:type="dxa"/>
            <w:bottom w:w="0" w:type="dxa"/>
            <w:right w:w="108" w:type="dxa"/>
          </w:tblCellMar>
        </w:tblPrEx>
        <w:trPr>
          <w:trHeight w:val="346" w:hRule="exact"/>
          <w:jc w:val="center"/>
        </w:trPr>
        <w:tc>
          <w:tcPr>
            <w:tcW w:w="147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项目名称</w:t>
            </w:r>
          </w:p>
        </w:tc>
        <w:tc>
          <w:tcPr>
            <w:tcW w:w="8016"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劳模服务和活动经费</w:t>
            </w:r>
          </w:p>
        </w:tc>
      </w:tr>
      <w:tr>
        <w:tblPrEx>
          <w:tblLayout w:type="fixed"/>
          <w:tblCellMar>
            <w:top w:w="0" w:type="dxa"/>
            <w:left w:w="108" w:type="dxa"/>
            <w:bottom w:w="0" w:type="dxa"/>
            <w:right w:w="108" w:type="dxa"/>
          </w:tblCellMar>
        </w:tblPrEx>
        <w:trPr>
          <w:trHeight w:val="539" w:hRule="exact"/>
          <w:jc w:val="center"/>
        </w:trPr>
        <w:tc>
          <w:tcPr>
            <w:tcW w:w="1471"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主管部门</w:t>
            </w:r>
          </w:p>
        </w:tc>
        <w:tc>
          <w:tcPr>
            <w:tcW w:w="414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北京市丰台区总工会</w:t>
            </w:r>
          </w:p>
        </w:tc>
        <w:tc>
          <w:tcPr>
            <w:tcW w:w="11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实施单位</w:t>
            </w:r>
          </w:p>
        </w:tc>
        <w:tc>
          <w:tcPr>
            <w:tcW w:w="276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lang w:eastAsia="zh-CN"/>
              </w:rPr>
            </w:pPr>
            <w:r>
              <w:rPr>
                <w:rFonts w:hint="eastAsia" w:ascii="仿宋_GB2312" w:hAnsi="宋体" w:eastAsia="仿宋_GB2312" w:cs="宋体"/>
                <w:kern w:val="0"/>
                <w:szCs w:val="21"/>
                <w:lang w:eastAsia="zh-CN"/>
              </w:rPr>
              <w:t>权益工作部</w:t>
            </w:r>
          </w:p>
        </w:tc>
      </w:tr>
      <w:tr>
        <w:tblPrEx>
          <w:tblLayout w:type="fixed"/>
          <w:tblCellMar>
            <w:top w:w="0" w:type="dxa"/>
            <w:left w:w="108" w:type="dxa"/>
            <w:bottom w:w="0" w:type="dxa"/>
            <w:right w:w="108" w:type="dxa"/>
          </w:tblCellMar>
        </w:tblPrEx>
        <w:trPr>
          <w:trHeight w:val="567" w:hRule="exact"/>
          <w:jc w:val="center"/>
        </w:trPr>
        <w:tc>
          <w:tcPr>
            <w:tcW w:w="147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7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算数</w:t>
            </w: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执行数</w:t>
            </w:r>
          </w:p>
        </w:tc>
        <w:tc>
          <w:tcPr>
            <w:tcW w:w="5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执行率</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06" w:hRule="exact"/>
          <w:jc w:val="center"/>
        </w:trPr>
        <w:tc>
          <w:tcPr>
            <w:tcW w:w="14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rPr>
            </w:pPr>
            <w:r>
              <w:rPr>
                <w:rFonts w:hint="eastAsia" w:ascii="仿宋_GB2312" w:hAnsi="宋体" w:eastAsia="仿宋_GB2312" w:cs="宋体"/>
                <w:kern w:val="0"/>
                <w:szCs w:val="21"/>
              </w:rPr>
              <w:t>年度资金总额</w:t>
            </w:r>
          </w:p>
        </w:tc>
        <w:tc>
          <w:tcPr>
            <w:tcW w:w="106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仿宋_GB2312" w:hAnsi="宋体" w:eastAsia="仿宋_GB2312" w:cs="宋体"/>
                <w:kern w:val="0"/>
                <w:szCs w:val="21"/>
                <w:lang w:val="en-US" w:eastAsia="zh-CN"/>
              </w:rPr>
            </w:pPr>
            <w:r>
              <w:rPr>
                <w:rFonts w:hint="eastAsia" w:ascii="宋体" w:hAnsi="宋体" w:cs="宋体"/>
                <w:i w:val="0"/>
                <w:color w:val="000000"/>
                <w:kern w:val="0"/>
                <w:sz w:val="22"/>
                <w:szCs w:val="22"/>
                <w:u w:val="none"/>
                <w:lang w:val="en-US" w:eastAsia="zh-CN" w:bidi="ar"/>
              </w:rPr>
              <w:t>20.1</w:t>
            </w:r>
          </w:p>
        </w:tc>
        <w:tc>
          <w:tcPr>
            <w:tcW w:w="13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仿宋_GB2312" w:hAnsi="宋体" w:eastAsia="仿宋_GB2312" w:cs="宋体"/>
                <w:kern w:val="0"/>
                <w:szCs w:val="21"/>
                <w:lang w:val="en-US" w:eastAsia="zh-CN"/>
              </w:rPr>
            </w:pPr>
            <w:r>
              <w:rPr>
                <w:rFonts w:hint="eastAsia" w:ascii="宋体" w:hAnsi="宋体" w:cs="宋体"/>
                <w:i w:val="0"/>
                <w:color w:val="000000"/>
                <w:kern w:val="0"/>
                <w:sz w:val="22"/>
                <w:szCs w:val="22"/>
                <w:u w:val="none"/>
                <w:lang w:val="en-US" w:eastAsia="zh-CN" w:bidi="ar"/>
              </w:rPr>
              <w:t>20.1</w:t>
            </w:r>
          </w:p>
        </w:tc>
        <w:tc>
          <w:tcPr>
            <w:tcW w:w="11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default" w:ascii="仿宋_GB2312" w:hAnsi="宋体" w:eastAsia="仿宋_GB2312" w:cs="宋体"/>
                <w:kern w:val="0"/>
                <w:szCs w:val="21"/>
                <w:lang w:val="en-US" w:eastAsia="zh-CN"/>
              </w:rPr>
            </w:pPr>
            <w:r>
              <w:rPr>
                <w:rFonts w:hint="eastAsia" w:ascii="宋体" w:hAnsi="宋体" w:cs="宋体"/>
                <w:i w:val="0"/>
                <w:color w:val="000000"/>
                <w:kern w:val="0"/>
                <w:sz w:val="22"/>
                <w:szCs w:val="22"/>
                <w:u w:val="none"/>
                <w:lang w:val="en-US" w:eastAsia="zh-CN" w:bidi="ar"/>
              </w:rPr>
              <w:t>20.1</w:t>
            </w:r>
          </w:p>
        </w:tc>
        <w:tc>
          <w:tcPr>
            <w:tcW w:w="5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w:t>
            </w:r>
          </w:p>
        </w:tc>
      </w:tr>
      <w:tr>
        <w:tblPrEx>
          <w:tblLayout w:type="fixed"/>
          <w:tblCellMar>
            <w:top w:w="0" w:type="dxa"/>
            <w:left w:w="108" w:type="dxa"/>
            <w:bottom w:w="0" w:type="dxa"/>
            <w:right w:w="108" w:type="dxa"/>
          </w:tblCellMar>
        </w:tblPrEx>
        <w:trPr>
          <w:trHeight w:val="601" w:hRule="exact"/>
          <w:jc w:val="center"/>
        </w:trPr>
        <w:tc>
          <w:tcPr>
            <w:tcW w:w="14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拨款</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lang w:val="en-US"/>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413" w:hRule="exact"/>
          <w:jc w:val="center"/>
        </w:trPr>
        <w:tc>
          <w:tcPr>
            <w:tcW w:w="14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72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06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53"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5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3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262" w:hRule="exact"/>
          <w:jc w:val="center"/>
        </w:trPr>
        <w:tc>
          <w:tcPr>
            <w:tcW w:w="14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72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06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35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11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c>
          <w:tcPr>
            <w:tcW w:w="73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5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预期目标</w:t>
            </w:r>
          </w:p>
        </w:tc>
        <w:tc>
          <w:tcPr>
            <w:tcW w:w="387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1455" w:hRule="exact"/>
          <w:jc w:val="center"/>
        </w:trPr>
        <w:tc>
          <w:tcPr>
            <w:tcW w:w="55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506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切实弘扬劳模精神、劳动精神、工匠精神，服务劳模，关爱劳模，形成全社会关爱劳模、学习劳模的浓厚社会氛围，落实各项劳模待遇政策。</w:t>
            </w:r>
            <w:r>
              <w:rPr>
                <w:rFonts w:hint="eastAsia" w:ascii="仿宋_GB2312" w:hAnsi="宋体" w:eastAsia="仿宋_GB2312" w:cs="宋体"/>
                <w:kern w:val="0"/>
                <w:szCs w:val="21"/>
              </w:rPr>
              <w:tab/>
            </w:r>
            <w:r>
              <w:rPr>
                <w:rFonts w:hint="eastAsia" w:ascii="仿宋_GB2312" w:hAnsi="宋体" w:eastAsia="仿宋_GB2312" w:cs="宋体"/>
                <w:kern w:val="0"/>
                <w:szCs w:val="21"/>
              </w:rPr>
              <w:tab/>
            </w:r>
            <w:r>
              <w:rPr>
                <w:rFonts w:hint="eastAsia" w:ascii="仿宋_GB2312" w:hAnsi="宋体" w:eastAsia="仿宋_GB2312" w:cs="宋体"/>
                <w:kern w:val="0"/>
                <w:szCs w:val="21"/>
              </w:rPr>
              <w:tab/>
            </w:r>
          </w:p>
        </w:tc>
        <w:tc>
          <w:tcPr>
            <w:tcW w:w="3873"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5"/>
                <w:szCs w:val="15"/>
              </w:rPr>
            </w:pPr>
            <w:r>
              <w:rPr>
                <w:rFonts w:hint="eastAsia" w:ascii="仿宋_GB2312" w:hAnsi="仿宋_GB2312" w:eastAsia="仿宋_GB2312" w:cs="仿宋_GB2312"/>
                <w:sz w:val="15"/>
                <w:szCs w:val="18"/>
              </w:rPr>
              <w:t>全年主动热情服务劳模，全面落实各项劳模待遇，开展了面向全体劳模的节日慰问活动</w:t>
            </w:r>
            <w:r>
              <w:rPr>
                <w:rFonts w:hint="eastAsia" w:ascii="仿宋_GB2312" w:hAnsi="仿宋_GB2312" w:eastAsia="仿宋_GB2312" w:cs="仿宋_GB2312"/>
                <w:sz w:val="15"/>
                <w:szCs w:val="18"/>
                <w:lang w:eastAsia="zh-CN"/>
              </w:rPr>
              <w:t>、发放慰问金和慰问品</w:t>
            </w:r>
            <w:r>
              <w:rPr>
                <w:rFonts w:hint="eastAsia" w:ascii="仿宋_GB2312" w:hAnsi="仿宋_GB2312" w:eastAsia="仿宋_GB2312" w:cs="仿宋_GB2312"/>
                <w:sz w:val="15"/>
                <w:szCs w:val="18"/>
              </w:rPr>
              <w:t>、组织部分劳模健康体检，组织部分劳模参加游园等参观活动，利用各种媒体大力宣传劳模事迹、弘扬劳模精神，全区关爱劳模、学习劳模氛围浓厚。</w:t>
            </w:r>
          </w:p>
        </w:tc>
      </w:tr>
      <w:tr>
        <w:tblPrEx>
          <w:tblLayout w:type="fixed"/>
          <w:tblCellMar>
            <w:top w:w="0" w:type="dxa"/>
            <w:left w:w="108" w:type="dxa"/>
            <w:bottom w:w="0" w:type="dxa"/>
            <w:right w:w="108" w:type="dxa"/>
          </w:tblCellMar>
        </w:tblPrEx>
        <w:trPr>
          <w:trHeight w:val="538" w:hRule="exact"/>
          <w:jc w:val="center"/>
        </w:trPr>
        <w:tc>
          <w:tcPr>
            <w:tcW w:w="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一级指标</w:t>
            </w:r>
          </w:p>
        </w:tc>
        <w:tc>
          <w:tcPr>
            <w:tcW w:w="104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二级指标</w:t>
            </w:r>
          </w:p>
        </w:tc>
        <w:tc>
          <w:tcPr>
            <w:tcW w:w="19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三级指标</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指标值</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完成值</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分值</w:t>
            </w:r>
          </w:p>
        </w:tc>
        <w:tc>
          <w:tcPr>
            <w:tcW w:w="4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得分</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Cs w:val="21"/>
              </w:rPr>
            </w:pPr>
            <w:r>
              <w:rPr>
                <w:rFonts w:hint="eastAsia" w:ascii="仿宋_GB2312" w:hAnsi="宋体" w:eastAsia="仿宋_GB2312" w:cs="宋体"/>
                <w:kern w:val="0"/>
                <w:sz w:val="20"/>
                <w:szCs w:val="20"/>
              </w:rPr>
              <w:t>偏差原因分析及改进措施</w:t>
            </w:r>
          </w:p>
        </w:tc>
      </w:tr>
      <w:tr>
        <w:tblPrEx>
          <w:tblLayout w:type="fixed"/>
          <w:tblCellMar>
            <w:top w:w="0" w:type="dxa"/>
            <w:left w:w="108" w:type="dxa"/>
            <w:bottom w:w="0" w:type="dxa"/>
            <w:right w:w="108" w:type="dxa"/>
          </w:tblCellMar>
        </w:tblPrEx>
        <w:trPr>
          <w:trHeight w:val="906"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产出指标</w:t>
            </w:r>
          </w:p>
        </w:tc>
        <w:tc>
          <w:tcPr>
            <w:tcW w:w="104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数量指标</w:t>
            </w:r>
          </w:p>
        </w:tc>
        <w:tc>
          <w:tcPr>
            <w:tcW w:w="19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组织全体劳模春节慰问活动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 w:val="22"/>
                <w:szCs w:val="22"/>
                <w:lang w:val="en-US" w:eastAsia="zh-CN"/>
              </w:rPr>
            </w:pPr>
            <w:r>
              <w:rPr>
                <w:rFonts w:hint="eastAsia" w:ascii="仿宋_GB2312" w:hAnsi="宋体" w:eastAsia="仿宋_GB2312" w:cs="宋体"/>
                <w:color w:val="auto"/>
                <w:kern w:val="0"/>
                <w:sz w:val="16"/>
                <w:szCs w:val="16"/>
                <w:lang w:val="en-US" w:eastAsia="zh-CN"/>
              </w:rPr>
              <w:t>向全体劳模发放春节慰问金、慰问品</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按时足额发放劳模慰问金和慰问品</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8</w:t>
            </w:r>
          </w:p>
        </w:tc>
        <w:tc>
          <w:tcPr>
            <w:tcW w:w="4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8</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06"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9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组织劳模体检工作</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组织</w:t>
            </w:r>
            <w:r>
              <w:rPr>
                <w:rFonts w:hint="eastAsia" w:ascii="仿宋_GB2312" w:hAnsi="宋体" w:eastAsia="仿宋_GB2312" w:cs="宋体"/>
                <w:color w:val="auto"/>
                <w:kern w:val="0"/>
                <w:szCs w:val="21"/>
                <w:lang w:val="en-US" w:eastAsia="zh-CN"/>
              </w:rPr>
              <w:t>劳模参加体检</w:t>
            </w: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组织</w:t>
            </w:r>
            <w:r>
              <w:rPr>
                <w:rFonts w:hint="eastAsia" w:ascii="仿宋_GB2312" w:hAnsi="宋体" w:eastAsia="仿宋_GB2312" w:cs="宋体"/>
                <w:color w:val="auto"/>
                <w:kern w:val="0"/>
                <w:szCs w:val="21"/>
                <w:lang w:val="en-US" w:eastAsia="zh-CN"/>
              </w:rPr>
              <w:t>劳模参加健康体检</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16</w:t>
            </w:r>
          </w:p>
        </w:tc>
        <w:tc>
          <w:tcPr>
            <w:tcW w:w="4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16</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FF"/>
                <w:kern w:val="0"/>
                <w:szCs w:val="21"/>
              </w:rPr>
            </w:pPr>
          </w:p>
        </w:tc>
      </w:tr>
      <w:tr>
        <w:tblPrEx>
          <w:tblLayout w:type="fixed"/>
          <w:tblCellMar>
            <w:top w:w="0" w:type="dxa"/>
            <w:left w:w="108" w:type="dxa"/>
            <w:bottom w:w="0" w:type="dxa"/>
            <w:right w:w="108" w:type="dxa"/>
          </w:tblCellMar>
        </w:tblPrEx>
        <w:trPr>
          <w:trHeight w:val="994"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9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组织劳模休养参观活动</w:t>
            </w:r>
          </w:p>
        </w:tc>
        <w:tc>
          <w:tcPr>
            <w:tcW w:w="120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组织</w:t>
            </w:r>
            <w:r>
              <w:rPr>
                <w:rFonts w:hint="eastAsia" w:ascii="仿宋_GB2312" w:hAnsi="宋体" w:eastAsia="仿宋_GB2312" w:cs="宋体"/>
                <w:color w:val="auto"/>
                <w:kern w:val="0"/>
                <w:szCs w:val="21"/>
                <w:lang w:val="en-US" w:eastAsia="zh-CN"/>
              </w:rPr>
              <w:t>劳模疗休养</w:t>
            </w:r>
          </w:p>
          <w:p>
            <w:pPr>
              <w:widowControl/>
              <w:spacing w:line="240" w:lineRule="exact"/>
              <w:jc w:val="center"/>
              <w:rPr>
                <w:rFonts w:hint="default" w:ascii="仿宋_GB2312" w:hAnsi="宋体" w:eastAsia="仿宋_GB2312" w:cs="宋体"/>
                <w:color w:val="auto"/>
                <w:kern w:val="0"/>
                <w:szCs w:val="21"/>
                <w:lang w:val="en-US" w:eastAsia="zh-CN"/>
              </w:rPr>
            </w:pPr>
          </w:p>
        </w:tc>
        <w:tc>
          <w:tcPr>
            <w:tcW w:w="13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劳模休养</w:t>
            </w:r>
          </w:p>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活动</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16</w:t>
            </w:r>
          </w:p>
        </w:tc>
        <w:tc>
          <w:tcPr>
            <w:tcW w:w="4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13</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FF"/>
                <w:kern w:val="0"/>
                <w:sz w:val="13"/>
                <w:szCs w:val="13"/>
                <w:lang w:eastAsia="zh-CN"/>
              </w:rPr>
            </w:pPr>
            <w:r>
              <w:rPr>
                <w:rFonts w:hint="eastAsia" w:ascii="仿宋_GB2312" w:hAnsi="宋体" w:eastAsia="仿宋_GB2312" w:cs="宋体"/>
                <w:color w:val="auto"/>
                <w:kern w:val="0"/>
                <w:sz w:val="13"/>
                <w:szCs w:val="13"/>
                <w:lang w:eastAsia="zh-CN"/>
              </w:rPr>
              <w:t>原因：部分活动未能紧扣时代发展，未能让所有劳模满意。措施：提高活动多样性。</w:t>
            </w:r>
          </w:p>
        </w:tc>
      </w:tr>
      <w:tr>
        <w:tblPrEx>
          <w:tblLayout w:type="fixed"/>
          <w:tblCellMar>
            <w:top w:w="0" w:type="dxa"/>
            <w:left w:w="108" w:type="dxa"/>
            <w:bottom w:w="0" w:type="dxa"/>
            <w:right w:w="108" w:type="dxa"/>
          </w:tblCellMar>
        </w:tblPrEx>
        <w:trPr>
          <w:trHeight w:val="1466"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质量指标</w:t>
            </w:r>
          </w:p>
        </w:tc>
        <w:tc>
          <w:tcPr>
            <w:tcW w:w="19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各项劳模待遇政策到位，各项劳模活动按时开展顺利完成、社会上形成关爱劳模、学习劳模的浓厚氛围。</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能够达到预期目标</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达到预期目标</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4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14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404"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社会效益指标</w:t>
            </w:r>
          </w:p>
        </w:tc>
        <w:tc>
          <w:tcPr>
            <w:tcW w:w="19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auto"/>
                <w:kern w:val="0"/>
                <w:sz w:val="16"/>
                <w:szCs w:val="16"/>
              </w:rPr>
            </w:pPr>
            <w:r>
              <w:rPr>
                <w:rFonts w:hint="eastAsia" w:ascii="仿宋_GB2312" w:hAnsi="宋体" w:eastAsia="仿宋_GB2312" w:cs="宋体"/>
                <w:color w:val="auto"/>
                <w:kern w:val="0"/>
                <w:sz w:val="16"/>
                <w:szCs w:val="16"/>
              </w:rPr>
              <w:t>弘扬劳模精神、劳动精神、工匠精神，社会上形成关爱劳模、学习劳模的浓厚氛围，激励广大职工建功新时代，建设新丰台。</w:t>
            </w:r>
            <w:r>
              <w:rPr>
                <w:rFonts w:hint="eastAsia" w:ascii="仿宋_GB2312" w:hAnsi="宋体" w:eastAsia="仿宋_GB2312" w:cs="宋体"/>
                <w:color w:val="auto"/>
                <w:kern w:val="0"/>
                <w:sz w:val="16"/>
                <w:szCs w:val="16"/>
              </w:rPr>
              <w:tab/>
            </w:r>
            <w:r>
              <w:rPr>
                <w:rFonts w:hint="eastAsia" w:ascii="仿宋_GB2312" w:hAnsi="宋体" w:eastAsia="仿宋_GB2312" w:cs="宋体"/>
                <w:color w:val="auto"/>
                <w:kern w:val="0"/>
                <w:sz w:val="16"/>
                <w:szCs w:val="16"/>
              </w:rPr>
              <w:tab/>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能够达到预期目标</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达到预期目标</w:t>
            </w:r>
          </w:p>
        </w:tc>
        <w:tc>
          <w:tcPr>
            <w:tcW w:w="62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46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20</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98" w:hRule="exact"/>
          <w:jc w:val="center"/>
        </w:trPr>
        <w:tc>
          <w:tcPr>
            <w:tcW w:w="5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c>
          <w:tcPr>
            <w:tcW w:w="91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指标</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服务对象满意度</w:t>
            </w:r>
            <w:r>
              <w:rPr>
                <w:rFonts w:hint="eastAsia" w:ascii="仿宋_GB2312" w:hAnsi="宋体" w:eastAsia="仿宋_GB2312" w:cs="宋体"/>
                <w:kern w:val="0"/>
                <w:szCs w:val="21"/>
                <w:lang w:eastAsia="zh-CN"/>
              </w:rPr>
              <w:t>指</w:t>
            </w:r>
            <w:r>
              <w:rPr>
                <w:rFonts w:hint="eastAsia" w:ascii="仿宋_GB2312" w:hAnsi="宋体" w:eastAsia="仿宋_GB2312" w:cs="宋体"/>
                <w:kern w:val="0"/>
                <w:szCs w:val="21"/>
              </w:rPr>
              <w:t>标</w:t>
            </w:r>
          </w:p>
        </w:tc>
        <w:tc>
          <w:tcPr>
            <w:tcW w:w="1901" w:type="dxa"/>
            <w:gridSpan w:val="3"/>
            <w:tcBorders>
              <w:top w:val="single" w:color="auto" w:sz="4" w:space="0"/>
              <w:left w:val="nil"/>
              <w:right w:val="single" w:color="auto" w:sz="4" w:space="0"/>
            </w:tcBorders>
            <w:vAlign w:val="center"/>
          </w:tcPr>
          <w:p>
            <w:pPr>
              <w:widowControl/>
              <w:spacing w:line="240" w:lineRule="exact"/>
              <w:jc w:val="left"/>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劳模对各项服务事项满意度</w:t>
            </w:r>
          </w:p>
        </w:tc>
        <w:tc>
          <w:tcPr>
            <w:tcW w:w="1200" w:type="dxa"/>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eastAsia="zh-CN"/>
              </w:rPr>
              <w:t>满意度达到</w:t>
            </w:r>
            <w:r>
              <w:rPr>
                <w:rFonts w:hint="eastAsia" w:ascii="仿宋_GB2312" w:hAnsi="宋体" w:eastAsia="仿宋_GB2312" w:cs="宋体"/>
                <w:color w:val="auto"/>
                <w:kern w:val="0"/>
                <w:szCs w:val="21"/>
                <w:lang w:val="en-US" w:eastAsia="zh-CN"/>
              </w:rPr>
              <w:t>98%以上</w:t>
            </w:r>
          </w:p>
        </w:tc>
        <w:tc>
          <w:tcPr>
            <w:tcW w:w="1308" w:type="dxa"/>
            <w:gridSpan w:val="2"/>
            <w:tcBorders>
              <w:top w:val="single" w:color="auto" w:sz="4" w:space="0"/>
              <w:left w:val="nil"/>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eastAsia="zh-CN"/>
              </w:rPr>
              <w:t>达到预期目标</w:t>
            </w:r>
          </w:p>
        </w:tc>
        <w:tc>
          <w:tcPr>
            <w:tcW w:w="624" w:type="dxa"/>
            <w:gridSpan w:val="2"/>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468" w:type="dxa"/>
            <w:tcBorders>
              <w:top w:val="single" w:color="auto" w:sz="4" w:space="0"/>
              <w:left w:val="nil"/>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10</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92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总分</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90</w:t>
            </w:r>
          </w:p>
        </w:tc>
        <w:tc>
          <w:tcPr>
            <w:tcW w:w="46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87</w:t>
            </w:r>
          </w:p>
        </w:tc>
        <w:tc>
          <w:tcPr>
            <w:tcW w:w="14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rPr>
            </w:pPr>
          </w:p>
        </w:tc>
      </w:tr>
      <w:bookmarkEnd w:id="0"/>
    </w:tbl>
    <w:p>
      <w:pPr>
        <w:pStyle w:val="4"/>
        <w:rPr>
          <w:rFonts w:hint="eastAsia"/>
          <w:lang w:val="en-US" w:eastAsia="zh-CN"/>
        </w:rPr>
      </w:pPr>
    </w:p>
    <w:p>
      <w:pPr>
        <w:spacing w:line="480" w:lineRule="exact"/>
        <w:rPr>
          <w:rFonts w:hint="eastAsia" w:ascii="黑体" w:hAnsi="黑体" w:eastAsia="黑体"/>
          <w:sz w:val="32"/>
          <w:szCs w:val="32"/>
          <w:highlight w:val="none"/>
        </w:rPr>
      </w:pPr>
      <w:bookmarkStart w:id="2" w:name="OLE_LINK2"/>
    </w:p>
    <w:p>
      <w:pPr>
        <w:spacing w:line="480" w:lineRule="exact"/>
        <w:rPr>
          <w:rFonts w:hint="eastAsia" w:ascii="方正小标宋简体" w:hAnsi="黑体" w:eastAsia="方正小标宋简体"/>
          <w:sz w:val="36"/>
          <w:szCs w:val="36"/>
          <w:highlight w:val="none"/>
        </w:rPr>
      </w:pPr>
      <w:r>
        <w:rPr>
          <w:rFonts w:hint="eastAsia" w:ascii="方正小标宋简体" w:eastAsia="方正小标宋简体"/>
          <w:sz w:val="36"/>
          <w:szCs w:val="36"/>
          <w:highlight w:val="none"/>
        </w:rPr>
        <w:t xml:space="preserve">                </w:t>
      </w: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8"/>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2024宣传活动互联网专线使用费</w:t>
            </w:r>
          </w:p>
        </w:tc>
      </w:tr>
      <w:tr>
        <w:tblPrEx>
          <w:tblLayout w:type="fixed"/>
          <w:tblCellMar>
            <w:top w:w="0" w:type="dxa"/>
            <w:left w:w="108" w:type="dxa"/>
            <w:bottom w:w="0" w:type="dxa"/>
            <w:right w:w="108" w:type="dxa"/>
          </w:tblCellMar>
        </w:tblPrEx>
        <w:trPr>
          <w:trHeight w:val="53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北京市丰台区总工会</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北京市丰台区职工服务中心</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4.14</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168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通过开通互联网专线，提升职工服务中心信息收发效率。有序推进</w:t>
            </w:r>
            <w:r>
              <w:rPr>
                <w:rFonts w:hint="eastAsia" w:ascii="仿宋_GB2312" w:hAnsi="宋体" w:eastAsia="仿宋_GB2312" w:cs="宋体"/>
                <w:kern w:val="0"/>
                <w:szCs w:val="21"/>
                <w:highlight w:val="none"/>
                <w:lang w:eastAsia="zh-CN"/>
              </w:rPr>
              <w:t>各</w:t>
            </w:r>
            <w:r>
              <w:rPr>
                <w:rFonts w:hint="eastAsia" w:ascii="仿宋_GB2312" w:hAnsi="宋体" w:eastAsia="仿宋_GB2312" w:cs="宋体"/>
                <w:kern w:val="0"/>
                <w:szCs w:val="21"/>
                <w:highlight w:val="none"/>
              </w:rPr>
              <w:t>类工作。提高中心三级服务体系的服务能力。在全年中，为有序推进职工服务中心保险工作，职工之家</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rPr>
              <w:t>暖心驿站和12351职工服务热线等工作提供信息和宣传保障。实现信息快速传递，提高中心服务质量。</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在互联网专线的促进下，职工服务中心文件收发和信息沟通顺畅迅速。促进了职工之家暖心驿站的建设，促进了困难职工帮扶，提升了三级服务体系的服务能力，服务职工活动京卡刷卡人数提升</w:t>
            </w:r>
            <w:r>
              <w:rPr>
                <w:rFonts w:hint="eastAsia" w:ascii="仿宋_GB2312" w:hAnsi="宋体" w:eastAsia="仿宋_GB2312" w:cs="宋体"/>
                <w:kern w:val="0"/>
                <w:szCs w:val="21"/>
                <w:highlight w:val="none"/>
                <w:lang w:eastAsia="zh-CN"/>
              </w:rPr>
              <w:t>，为职工提供高效的法律服务平台。</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2条专线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3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网络畅通，保障各项工作顺利</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13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续</w:t>
            </w:r>
            <w:r>
              <w:rPr>
                <w:rFonts w:hint="eastAsia" w:ascii="仿宋_GB2312" w:hAnsi="宋体" w:eastAsia="仿宋_GB2312" w:cs="宋体"/>
                <w:color w:val="000000"/>
                <w:kern w:val="0"/>
                <w:szCs w:val="21"/>
                <w:highlight w:val="none"/>
              </w:rPr>
              <w:t>费工作在3月底前完成</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3"/>
                <w:szCs w:val="13"/>
                <w:highlight w:val="none"/>
              </w:rPr>
            </w:pPr>
            <w:r>
              <w:rPr>
                <w:rFonts w:hint="eastAsia" w:ascii="仿宋_GB2312" w:hAnsi="宋体" w:eastAsia="仿宋_GB2312" w:cs="宋体"/>
                <w:kern w:val="0"/>
                <w:sz w:val="15"/>
                <w:szCs w:val="15"/>
                <w:highlight w:val="none"/>
                <w:lang w:val="en-US" w:eastAsia="zh-CN"/>
              </w:rPr>
              <w:t>原因：前期流程手续较多，导致支付时间滞后。措施：准备工作提前，确保按时支</w:t>
            </w:r>
            <w:r>
              <w:rPr>
                <w:rFonts w:hint="eastAsia" w:ascii="仿宋_GB2312" w:hAnsi="宋体" w:eastAsia="仿宋_GB2312" w:cs="宋体"/>
                <w:kern w:val="0"/>
                <w:sz w:val="15"/>
                <w:szCs w:val="15"/>
                <w:highlight w:val="none"/>
                <w:lang w:val="en-US" w:eastAsia="zh-CN"/>
              </w:rPr>
              <w:t>出。</w:t>
            </w:r>
          </w:p>
        </w:tc>
      </w:tr>
      <w:tr>
        <w:tblPrEx>
          <w:tblLayout w:type="fixed"/>
          <w:tblCellMar>
            <w:top w:w="0" w:type="dxa"/>
            <w:left w:w="108" w:type="dxa"/>
            <w:bottom w:w="0" w:type="dxa"/>
            <w:right w:w="108" w:type="dxa"/>
          </w:tblCellMar>
        </w:tblPrEx>
        <w:trPr>
          <w:trHeight w:val="7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提</w:t>
            </w:r>
            <w:r>
              <w:rPr>
                <w:rFonts w:hint="eastAsia" w:ascii="仿宋_GB2312" w:hAnsi="宋体" w:eastAsia="仿宋_GB2312" w:cs="宋体"/>
                <w:color w:val="000000"/>
                <w:kern w:val="0"/>
                <w:szCs w:val="21"/>
                <w:highlight w:val="none"/>
                <w:lang w:val="en-US" w:eastAsia="zh-CN"/>
              </w:rPr>
              <w:t>高服务职工效率，使劳动争议调节时效性和完成率提高</w:t>
            </w:r>
          </w:p>
          <w:p>
            <w:pPr>
              <w:widowControl/>
              <w:spacing w:line="240" w:lineRule="exact"/>
              <w:jc w:val="left"/>
              <w:rPr>
                <w:rFonts w:hint="eastAsia" w:ascii="仿宋_GB2312" w:hAnsi="宋体" w:eastAsia="仿宋_GB2312" w:cs="宋体"/>
                <w:color w:val="000000"/>
                <w:kern w:val="0"/>
                <w:szCs w:val="21"/>
                <w:highlight w:val="none"/>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5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工作人员满意度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88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bl>
    <w:p>
      <w:pPr>
        <w:rPr>
          <w:rFonts w:hint="eastAsia" w:ascii="仿宋_GB2312" w:eastAsia="仿宋_GB2312"/>
          <w:vanish/>
          <w:sz w:val="32"/>
          <w:szCs w:val="32"/>
          <w:highlight w:val="none"/>
        </w:rPr>
      </w:pPr>
    </w:p>
    <w:p>
      <w:pPr>
        <w:widowControl/>
        <w:jc w:val="left"/>
        <w:rPr>
          <w:rFonts w:ascii="仿宋_GB2312" w:hAnsi="宋体" w:eastAsia="仿宋_GB2312" w:cs="宋体"/>
          <w:color w:val="000000"/>
          <w:kern w:val="0"/>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widowControl/>
        <w:spacing w:line="520" w:lineRule="exact"/>
        <w:jc w:val="left"/>
        <w:rPr>
          <w:rFonts w:hint="eastAsia" w:ascii="仿宋_GB2312" w:hAnsi="宋体" w:eastAsia="仿宋_GB2312" w:cs="宋体"/>
          <w:color w:val="000000"/>
          <w:kern w:val="0"/>
          <w:sz w:val="32"/>
          <w:szCs w:val="32"/>
          <w:highlight w:val="none"/>
        </w:rPr>
      </w:pPr>
    </w:p>
    <w:p>
      <w:pPr>
        <w:spacing w:line="480" w:lineRule="exact"/>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rPr>
          <w:rFonts w:ascii="仿宋_GB2312" w:hAnsi="宋体" w:eastAsia="仿宋_GB2312"/>
          <w:sz w:val="28"/>
          <w:szCs w:val="28"/>
          <w:highlight w:val="none"/>
        </w:rPr>
      </w:pPr>
      <w:r>
        <w:rPr>
          <w:rFonts w:hint="eastAsia" w:ascii="仿宋_GB2312" w:eastAsia="仿宋_GB2312"/>
          <w:sz w:val="28"/>
          <w:szCs w:val="28"/>
          <w:highlight w:val="none"/>
        </w:rPr>
        <w:t xml:space="preserve">                   </w:t>
      </w:r>
      <w:r>
        <w:rPr>
          <w:rFonts w:ascii="仿宋_GB2312" w:eastAsia="仿宋_GB2312"/>
          <w:sz w:val="28"/>
          <w:szCs w:val="28"/>
          <w:highlight w:val="none"/>
        </w:rPr>
        <w:t xml:space="preserve">  </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 xml:space="preserve">  （</w:t>
      </w:r>
      <w:r>
        <w:rPr>
          <w:rFonts w:hint="eastAsia" w:ascii="仿宋_GB2312" w:hAnsi="宋体" w:eastAsia="仿宋_GB2312"/>
          <w:b/>
          <w:bCs/>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hint="eastAsia" w:ascii="仿宋_GB2312" w:hAnsi="宋体" w:eastAsia="仿宋_GB2312"/>
          <w:sz w:val="30"/>
          <w:szCs w:val="30"/>
          <w:highlight w:val="none"/>
        </w:rPr>
      </w:pPr>
    </w:p>
    <w:tbl>
      <w:tblPr>
        <w:tblStyle w:val="8"/>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91"/>
        <w:gridCol w:w="1041"/>
        <w:gridCol w:w="848"/>
        <w:gridCol w:w="279"/>
        <w:gridCol w:w="284"/>
        <w:gridCol w:w="420"/>
        <w:gridCol w:w="80"/>
        <w:gridCol w:w="766"/>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2024京卡服务项目宣传活动费</w:t>
            </w:r>
          </w:p>
        </w:tc>
      </w:tr>
      <w:tr>
        <w:tblPrEx>
          <w:tblLayout w:type="fixed"/>
          <w:tblCellMar>
            <w:top w:w="0" w:type="dxa"/>
            <w:left w:w="108" w:type="dxa"/>
            <w:bottom w:w="0" w:type="dxa"/>
            <w:right w:w="108" w:type="dxa"/>
          </w:tblCellMar>
        </w:tblPrEx>
        <w:trPr>
          <w:trHeight w:val="53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北京市丰台区总工会</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北京市丰台区职工服务中心</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1.216</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1.216</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2062"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通过继续落实市总关于进一步宣传京卡·互助服务卡的工作方案，提高工会组织的影响力，以全覆盖、普惠制为基本原则，以职工需求为导向，宣传工会服务职工品牌项目和具有区域特点服务职工品牌项目，满足不同职工群体多层次、多样化的需求。进入企业、社区、公园开展宣传京卡服务内容，让职工亲身体验服务项目，提高京卡·互助服务卡的知晓率和使用率，为职工提供面对面、心贴心、实打实的服务。</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完成</w:t>
            </w:r>
            <w:r>
              <w:rPr>
                <w:rFonts w:hint="eastAsia" w:ascii="仿宋_GB2312" w:hAnsi="宋体" w:eastAsia="仿宋_GB2312" w:cs="宋体"/>
                <w:kern w:val="0"/>
                <w:szCs w:val="21"/>
                <w:highlight w:val="none"/>
                <w:lang w:val="en-US" w:eastAsia="zh-CN"/>
              </w:rPr>
              <w:t>64把基层工会秘钥维护工作，给基层工会服务职工提供网络支持，提高京卡互助服务卡知晓率和使用率，为职工提供面对面，心贴心，实打实的服务，激发了广大职工参加工会活动的热情，保证服务系统的数据安全，积极有序推进工会工作有序开展。</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Layout w:type="fixed"/>
          <w:tblCellMar>
            <w:top w:w="0" w:type="dxa"/>
            <w:left w:w="108" w:type="dxa"/>
            <w:bottom w:w="0" w:type="dxa"/>
            <w:right w:w="108" w:type="dxa"/>
          </w:tblCellMar>
        </w:tblPrEx>
        <w:trPr>
          <w:trHeight w:val="2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更新宣传活动密钥</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17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rPr>
              <w:t>保障各级工会工作顺利</w:t>
            </w:r>
            <w:r>
              <w:rPr>
                <w:rFonts w:hint="eastAsia" w:ascii="仿宋_GB2312" w:hAnsi="宋体" w:eastAsia="仿宋_GB2312" w:cs="宋体"/>
                <w:color w:val="000000"/>
                <w:kern w:val="0"/>
                <w:szCs w:val="21"/>
                <w:highlight w:val="none"/>
                <w:lang w:eastAsia="zh-CN"/>
              </w:rPr>
              <w:t>开展</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default" w:ascii="仿宋_GB2312" w:hAnsi="宋体" w:eastAsia="仿宋_GB2312" w:cs="宋体"/>
                <w:kern w:val="0"/>
                <w:szCs w:val="21"/>
                <w:highlight w:val="none"/>
                <w:lang w:val="en-US" w:eastAsia="zh-CN"/>
              </w:rPr>
              <w:t>优良中差等</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 w:val="13"/>
                <w:szCs w:val="13"/>
                <w:highlight w:val="none"/>
              </w:rPr>
              <w:t>年 初 预 算 批 复 18000 元， 更 新 秘 钥 后 剩 余 资 金 不 够 制 作 宣 传 品。</w:t>
            </w:r>
            <w:r>
              <w:rPr>
                <w:rFonts w:hint="eastAsia" w:ascii="仿宋_GB2312" w:hAnsi="宋体" w:eastAsia="仿宋_GB2312" w:cs="宋体"/>
                <w:kern w:val="0"/>
                <w:sz w:val="13"/>
                <w:szCs w:val="13"/>
                <w:highlight w:val="none"/>
                <w:lang w:eastAsia="zh-CN"/>
              </w:rPr>
              <w:t>措施：提升预算质量，争取充足资金保证。</w:t>
            </w:r>
          </w:p>
        </w:tc>
      </w:tr>
      <w:tr>
        <w:tblPrEx>
          <w:tblLayout w:type="fixed"/>
          <w:tblCellMar>
            <w:top w:w="0" w:type="dxa"/>
            <w:left w:w="108" w:type="dxa"/>
            <w:bottom w:w="0" w:type="dxa"/>
            <w:right w:w="108" w:type="dxa"/>
          </w:tblCellMar>
        </w:tblPrEx>
        <w:trPr>
          <w:trHeight w:val="4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工作12月前完成</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r>
        <w:tblPrEx>
          <w:tblLayout w:type="fixed"/>
          <w:tblCellMar>
            <w:top w:w="0" w:type="dxa"/>
            <w:left w:w="108" w:type="dxa"/>
            <w:bottom w:w="0" w:type="dxa"/>
            <w:right w:w="108" w:type="dxa"/>
          </w:tblCellMar>
        </w:tblPrEx>
        <w:trPr>
          <w:trHeight w:val="11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效益指标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宣传工会工作，有序推进服务职工，职工维权等工作，使服务会员覆盖率达到职工人数</w:t>
            </w:r>
            <w:r>
              <w:rPr>
                <w:rFonts w:hint="eastAsia" w:ascii="仿宋_GB2312" w:hAnsi="宋体" w:eastAsia="仿宋_GB2312" w:cs="宋体"/>
                <w:color w:val="000000"/>
                <w:kern w:val="0"/>
                <w:szCs w:val="21"/>
                <w:highlight w:val="none"/>
                <w:lang w:val="en-US" w:eastAsia="zh-CN"/>
              </w:rPr>
              <w:t>85%</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≥85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19</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加大宣传力度，提升会员覆盖率。</w:t>
            </w:r>
          </w:p>
        </w:tc>
      </w:tr>
      <w:tr>
        <w:tblPrEx>
          <w:tblLayout w:type="fixed"/>
          <w:tblCellMar>
            <w:top w:w="0" w:type="dxa"/>
            <w:left w:w="108" w:type="dxa"/>
            <w:bottom w:w="0" w:type="dxa"/>
            <w:right w:w="108" w:type="dxa"/>
          </w:tblCellMar>
        </w:tblPrEx>
        <w:trPr>
          <w:trHeight w:val="86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1945"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街乡园区基层工会下载</w:t>
            </w:r>
            <w:r>
              <w:rPr>
                <w:rFonts w:hint="eastAsia" w:ascii="仿宋_GB2312" w:hAnsi="宋体" w:eastAsia="仿宋_GB2312" w:cs="宋体"/>
                <w:color w:val="000000"/>
                <w:kern w:val="0"/>
                <w:szCs w:val="21"/>
                <w:highlight w:val="none"/>
                <w:lang w:val="en-US" w:eastAsia="zh-CN"/>
              </w:rPr>
              <w:t>12351APP工会会员≧95%</w:t>
            </w:r>
          </w:p>
        </w:tc>
        <w:tc>
          <w:tcPr>
            <w:tcW w:w="104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9</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提升服务质量，提高会员满意度。</w:t>
            </w: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90</w:t>
            </w:r>
          </w:p>
        </w:tc>
        <w:tc>
          <w:tcPr>
            <w:tcW w:w="5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87</w:t>
            </w:r>
          </w:p>
        </w:tc>
        <w:tc>
          <w:tcPr>
            <w:tcW w:w="147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Cs w:val="21"/>
                <w:highlight w:val="none"/>
              </w:rPr>
            </w:pPr>
          </w:p>
        </w:tc>
      </w:tr>
    </w:tbl>
    <w:p>
      <w:pPr>
        <w:pStyle w:val="4"/>
        <w:rPr>
          <w:rFonts w:hint="eastAsia"/>
          <w:lang w:val="en-US" w:eastAsia="zh-CN"/>
        </w:rPr>
      </w:pPr>
    </w:p>
    <w:bookmarkEnd w:id="2"/>
    <w:p>
      <w:pPr>
        <w:pStyle w:val="4"/>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1D8D8F"/>
    <w:multiLevelType w:val="singleLevel"/>
    <w:tmpl w:val="F71D8D8F"/>
    <w:lvl w:ilvl="0" w:tentative="0">
      <w:start w:val="2"/>
      <w:numFmt w:val="chineseCounting"/>
      <w:suff w:val="nothing"/>
      <w:lvlText w:val="（%1）"/>
      <w:lvlJc w:val="left"/>
      <w:rPr>
        <w:rFonts w:hint="eastAsia"/>
      </w:rPr>
    </w:lvl>
  </w:abstractNum>
  <w:abstractNum w:abstractNumId="1">
    <w:nsid w:val="4A2C825F"/>
    <w:multiLevelType w:val="singleLevel"/>
    <w:tmpl w:val="4A2C825F"/>
    <w:lvl w:ilvl="0" w:tentative="0">
      <w:start w:val="1"/>
      <w:numFmt w:val="chineseCounting"/>
      <w:suff w:val="nothing"/>
      <w:lvlText w:val="%1、"/>
      <w:lvlJc w:val="left"/>
      <w:rPr>
        <w:rFonts w:hint="eastAsia"/>
      </w:rPr>
    </w:lvl>
  </w:abstractNum>
  <w:abstractNum w:abstractNumId="2">
    <w:nsid w:val="7AA9998F"/>
    <w:multiLevelType w:val="singleLevel"/>
    <w:tmpl w:val="7AA9998F"/>
    <w:lvl w:ilvl="0" w:tentative="0">
      <w:start w:val="3"/>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A5590"/>
    <w:rsid w:val="01ED5493"/>
    <w:rsid w:val="02DF5F62"/>
    <w:rsid w:val="0312254A"/>
    <w:rsid w:val="05484AE6"/>
    <w:rsid w:val="0EE65BD1"/>
    <w:rsid w:val="0EF7695E"/>
    <w:rsid w:val="121F5CE0"/>
    <w:rsid w:val="150C1413"/>
    <w:rsid w:val="15D22D3E"/>
    <w:rsid w:val="171302B6"/>
    <w:rsid w:val="17477484"/>
    <w:rsid w:val="18EA2AD2"/>
    <w:rsid w:val="192D4CE9"/>
    <w:rsid w:val="1A8F7360"/>
    <w:rsid w:val="1B8D6905"/>
    <w:rsid w:val="1DB84C88"/>
    <w:rsid w:val="1F6C2B2A"/>
    <w:rsid w:val="202760AF"/>
    <w:rsid w:val="21462A91"/>
    <w:rsid w:val="21B17147"/>
    <w:rsid w:val="2765147A"/>
    <w:rsid w:val="28204E68"/>
    <w:rsid w:val="38BC1773"/>
    <w:rsid w:val="426B6C13"/>
    <w:rsid w:val="4A0C6DEA"/>
    <w:rsid w:val="4A5F112D"/>
    <w:rsid w:val="5252351E"/>
    <w:rsid w:val="55FA5590"/>
    <w:rsid w:val="56BD2D61"/>
    <w:rsid w:val="57F03637"/>
    <w:rsid w:val="5BC05915"/>
    <w:rsid w:val="5E191544"/>
    <w:rsid w:val="60AA7236"/>
    <w:rsid w:val="64EF352E"/>
    <w:rsid w:val="65186632"/>
    <w:rsid w:val="664267B4"/>
    <w:rsid w:val="68D00CFA"/>
    <w:rsid w:val="6A043914"/>
    <w:rsid w:val="71511138"/>
    <w:rsid w:val="716E0F5D"/>
    <w:rsid w:val="74C334A4"/>
    <w:rsid w:val="792B6613"/>
    <w:rsid w:val="79AD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next w:val="3"/>
    <w:qFormat/>
    <w:uiPriority w:val="0"/>
    <w:pPr>
      <w:widowControl w:val="0"/>
      <w:spacing w:after="120" w:line="560" w:lineRule="exact"/>
      <w:ind w:left="0" w:leftChars="0" w:firstLine="420" w:firstLineChars="200"/>
      <w:jc w:val="both"/>
    </w:pPr>
    <w:rPr>
      <w:rFonts w:ascii="Calibri" w:hAnsi="Calibri" w:eastAsia="宋体" w:cs="Times New Roman"/>
      <w:kern w:val="2"/>
      <w:sz w:val="32"/>
      <w:szCs w:val="21"/>
      <w:lang w:val="en-US" w:eastAsia="zh-CN" w:bidi="ar-SA"/>
    </w:rPr>
  </w:style>
  <w:style w:type="paragraph" w:customStyle="1" w:styleId="3">
    <w:name w:val="样式 标题 2 + Times New Roman 四号 非加粗 段前: 5 磅 段后: 0 磅 行距: 固定值 20..."/>
    <w:next w:val="4"/>
    <w:qFormat/>
    <w:uiPriority w:val="0"/>
    <w:pPr>
      <w:keepNext/>
      <w:keepLines/>
      <w:widowControl w:val="0"/>
      <w:spacing w:before="100" w:after="0" w:line="400" w:lineRule="exact"/>
      <w:jc w:val="both"/>
      <w:outlineLvl w:val="1"/>
    </w:pPr>
    <w:rPr>
      <w:rFonts w:ascii="Times New Roman" w:hAnsi="Times New Roman" w:eastAsia="宋体" w:cs="宋体"/>
      <w:kern w:val="2"/>
      <w:sz w:val="28"/>
      <w:szCs w:val="20"/>
      <w:lang w:val="en-US" w:eastAsia="zh-CN" w:bidi="ar-SA"/>
    </w:rPr>
  </w:style>
  <w:style w:type="paragraph" w:styleId="4">
    <w:name w:val="footnote text"/>
    <w:qFormat/>
    <w:uiPriority w:val="0"/>
    <w:pPr>
      <w:widowControl w:val="0"/>
      <w:snapToGrid w:val="0"/>
      <w:jc w:val="both"/>
    </w:pPr>
    <w:rPr>
      <w:rFonts w:ascii="Calibri" w:hAnsi="Calibri" w:eastAsia="宋体" w:cs="Times New Roman"/>
      <w:kern w:val="2"/>
      <w:sz w:val="18"/>
      <w:szCs w:val="18"/>
      <w:lang w:val="en-US" w:eastAsia="zh-CN" w:bidi="ar-SA"/>
    </w:rPr>
  </w:style>
  <w:style w:type="paragraph" w:styleId="5">
    <w:name w:val="footer"/>
    <w:basedOn w:val="1"/>
    <w:qFormat/>
    <w:uiPriority w:val="99"/>
    <w:pPr>
      <w:widowControl w:val="0"/>
      <w:tabs>
        <w:tab w:val="center" w:pos="4153"/>
        <w:tab w:val="right" w:pos="8306"/>
      </w:tabs>
      <w:snapToGrid w:val="0"/>
      <w:jc w:val="left"/>
    </w:pPr>
    <w:rPr>
      <w:rFonts w:hint="eastAsia" w:ascii="Times New Roman" w:hAnsi="Times New Roman" w:eastAsia="宋体" w:cs="Times New Roman"/>
      <w:kern w:val="2"/>
      <w:sz w:val="18"/>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2025-07-02T01:30:00Z</dcterms:created>
  <dc:creator>weijun</dc:creator>
  <cp:lastModifiedBy>weijun</cp:lastModifiedBy>
  <dcterms:modified xsi:type="dcterms:W3CDTF">2025-12-25T06:12:42Z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